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E5" w:rsidRDefault="009954E5" w:rsidP="00AC1C10">
      <w:pPr>
        <w:spacing w:after="0" w:line="240" w:lineRule="auto"/>
        <w:rPr>
          <w:rFonts w:cs="Calibri"/>
          <w:b/>
        </w:rPr>
      </w:pPr>
    </w:p>
    <w:p w:rsidR="009954E5" w:rsidRPr="00DA193E" w:rsidRDefault="009954E5" w:rsidP="009954E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PROCESSO LICITATÓRIO Nº 91</w:t>
      </w:r>
      <w:r w:rsidRPr="00DA193E">
        <w:rPr>
          <w:rFonts w:cs="Calibri"/>
          <w:b/>
          <w:sz w:val="24"/>
          <w:szCs w:val="24"/>
        </w:rPr>
        <w:t>/2019</w:t>
      </w:r>
    </w:p>
    <w:p w:rsidR="009954E5" w:rsidRPr="00DA193E" w:rsidRDefault="009954E5" w:rsidP="009954E5">
      <w:pPr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CONCORRÊNCIA Nº </w:t>
      </w:r>
      <w:r w:rsidRPr="00DA193E">
        <w:rPr>
          <w:rFonts w:cs="Calibri"/>
          <w:b/>
          <w:bCs/>
          <w:sz w:val="24"/>
          <w:szCs w:val="24"/>
        </w:rPr>
        <w:t>1/2019</w:t>
      </w:r>
    </w:p>
    <w:p w:rsidR="009954E5" w:rsidRPr="00DA193E" w:rsidRDefault="009954E5" w:rsidP="009954E5">
      <w:pP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</w:p>
    <w:p w:rsidR="009954E5" w:rsidRPr="009954E5" w:rsidRDefault="009954E5" w:rsidP="009954E5">
      <w:pPr>
        <w:jc w:val="center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DA193E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ATA Nº 2/2019 </w:t>
      </w:r>
      <w:r w:rsidR="00005CFA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ABERTURA DE DOCUMENTAÇÃO</w:t>
      </w:r>
    </w:p>
    <w:p w:rsidR="009954E5" w:rsidRDefault="009954E5" w:rsidP="009954E5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233169" w:rsidRPr="00AC1C10" w:rsidRDefault="009954E5" w:rsidP="009954E5">
      <w:pPr>
        <w:jc w:val="both"/>
        <w:rPr>
          <w:rFonts w:cstheme="minorHAnsi"/>
          <w:sz w:val="24"/>
          <w:szCs w:val="24"/>
        </w:rPr>
      </w:pPr>
      <w:r w:rsidRPr="00AC1C10">
        <w:rPr>
          <w:rFonts w:cstheme="minorHAnsi"/>
          <w:color w:val="000000"/>
          <w:sz w:val="24"/>
          <w:szCs w:val="24"/>
          <w:shd w:val="clear" w:color="auto" w:fill="FFFFFF"/>
        </w:rPr>
        <w:t xml:space="preserve">Ao vigésimo primeiro dia do mês de novembro de dois mil e dezenove, às oito horas e trinta minutos, reuniram-se a sala de licitações da Prefeitura Municipal de Ponte Serrada - SC a comissão permanente de licitações designada pelo decreto nº 004/2019 de 08 de janeiro de 2019 para julgar a licitação em epígrafe. Após análise minuciosa da documentação apresentada pelas pessoas empresas licitantes, feita pela comissão de licitação; DECIDE e APRESENTA o relatório que segue. Preliminarmente cabe apontar algumas considerações. No que diz respeito aos </w:t>
      </w:r>
      <w:proofErr w:type="spellStart"/>
      <w:r w:rsidRPr="00AC1C10">
        <w:rPr>
          <w:rFonts w:cstheme="minorHAnsi"/>
          <w:color w:val="000000"/>
          <w:sz w:val="24"/>
          <w:szCs w:val="24"/>
          <w:shd w:val="clear" w:color="auto" w:fill="FFFFFF"/>
        </w:rPr>
        <w:t>microempreendedores</w:t>
      </w:r>
      <w:proofErr w:type="spellEnd"/>
      <w:r w:rsidRPr="00AC1C10">
        <w:rPr>
          <w:rFonts w:cstheme="minorHAnsi"/>
          <w:color w:val="000000"/>
          <w:sz w:val="24"/>
          <w:szCs w:val="24"/>
          <w:shd w:val="clear" w:color="auto" w:fill="FFFFFF"/>
        </w:rPr>
        <w:t xml:space="preserve"> individuais que deixaram de apresentar os balanços patrimoniais, a Lei nº 8.666/93 dispõe que para a habilitação nas licitações exigir-se-á dos interessados, exclusivamente, documentação relativa </w:t>
      </w:r>
      <w:proofErr w:type="gramStart"/>
      <w:r w:rsidRPr="00AC1C10">
        <w:rPr>
          <w:rFonts w:cstheme="minorHAnsi"/>
          <w:color w:val="000000"/>
          <w:sz w:val="24"/>
          <w:szCs w:val="24"/>
          <w:shd w:val="clear" w:color="auto" w:fill="FFFFFF"/>
        </w:rPr>
        <w:t>a</w:t>
      </w:r>
      <w:proofErr w:type="gramEnd"/>
      <w:r w:rsidRPr="00AC1C10">
        <w:rPr>
          <w:rFonts w:cstheme="minorHAnsi"/>
          <w:color w:val="000000"/>
          <w:sz w:val="24"/>
          <w:szCs w:val="24"/>
          <w:shd w:val="clear" w:color="auto" w:fill="FFFFFF"/>
        </w:rPr>
        <w:t xml:space="preserve"> qualificação econômico-financeira, balanço patrimonial e demonstrações contábeis do último exercício social, já exigíveis e apresentados na forma da lei, que comprovem a boa situação financeira da empresa, Entretanto da análise da legislação que regulamenta o </w:t>
      </w:r>
      <w:proofErr w:type="spellStart"/>
      <w:r w:rsidRPr="00AC1C10">
        <w:rPr>
          <w:rFonts w:cstheme="minorHAnsi"/>
          <w:color w:val="000000"/>
          <w:sz w:val="24"/>
          <w:szCs w:val="24"/>
          <w:shd w:val="clear" w:color="auto" w:fill="FFFFFF"/>
        </w:rPr>
        <w:t>Microempreendedor</w:t>
      </w:r>
      <w:proofErr w:type="spellEnd"/>
      <w:r w:rsidRPr="00AC1C10">
        <w:rPr>
          <w:rFonts w:cstheme="minorHAnsi"/>
          <w:color w:val="000000"/>
          <w:sz w:val="24"/>
          <w:szCs w:val="24"/>
          <w:shd w:val="clear" w:color="auto" w:fill="FFFFFF"/>
        </w:rPr>
        <w:t xml:space="preserve"> Individual, a saber, a Lei Complementar nº 123/06, considera-se MEI o empresário individual a que se refere o art. 966 da Lei no 10.406, de 10 de janeiro de 2002 (Código Civil), que tenha auferido receita bruta, no ano-calendário anterior, de até R$ 81.000,00 (oitenta e um mil reais), Por sua vez, o Código Civil estabelece em seu Art. 970. </w:t>
      </w:r>
      <w:proofErr w:type="gramStart"/>
      <w:r w:rsidRPr="00AC1C10">
        <w:rPr>
          <w:rFonts w:cstheme="minorHAnsi"/>
          <w:color w:val="000000"/>
          <w:sz w:val="24"/>
          <w:szCs w:val="24"/>
          <w:shd w:val="clear" w:color="auto" w:fill="FFFFFF"/>
        </w:rPr>
        <w:t>tratamento</w:t>
      </w:r>
      <w:proofErr w:type="gramEnd"/>
      <w:r w:rsidRPr="00AC1C10">
        <w:rPr>
          <w:rFonts w:cstheme="minorHAnsi"/>
          <w:color w:val="000000"/>
          <w:sz w:val="24"/>
          <w:szCs w:val="24"/>
          <w:shd w:val="clear" w:color="auto" w:fill="FFFFFF"/>
        </w:rPr>
        <w:t xml:space="preserve"> favorecido, diferenciado e simplificado ao empresário rural e ao pequeno empresário, quanto à inscrição e aos efeitos daí decorrentes. E em seu § 2º do Art. 1.179.  É dispensado das exigências deste artigo o pequeno empresário a que se refere o art. 970. Veja-se que o tratamento jurídico destinado ao MEI é </w:t>
      </w:r>
      <w:proofErr w:type="gramStart"/>
      <w:r w:rsidRPr="00AC1C10">
        <w:rPr>
          <w:rFonts w:cstheme="minorHAnsi"/>
          <w:color w:val="000000"/>
          <w:sz w:val="24"/>
          <w:szCs w:val="24"/>
          <w:shd w:val="clear" w:color="auto" w:fill="FFFFFF"/>
        </w:rPr>
        <w:t>simplificado e favorecido, cumprindo-se a previsão constitucional do art. 179 que lhes garante simplificação de suas obrigações administrativas, tributárias, previdenciárias e creditícias</w:t>
      </w:r>
      <w:proofErr w:type="gramEnd"/>
      <w:r w:rsidRPr="00AC1C10">
        <w:rPr>
          <w:rFonts w:cstheme="minorHAnsi"/>
          <w:color w:val="000000"/>
          <w:sz w:val="24"/>
          <w:szCs w:val="24"/>
          <w:shd w:val="clear" w:color="auto" w:fill="FFFFFF"/>
        </w:rPr>
        <w:t xml:space="preserve">. Enfim, a legislação civil dispensou o MEI de instituir sistema complexo de contabilização de suas receitas e despesas, bem como de balanço patrimonial. Os </w:t>
      </w:r>
      <w:proofErr w:type="spellStart"/>
      <w:r w:rsidRPr="00AC1C10">
        <w:rPr>
          <w:rFonts w:cstheme="minorHAnsi"/>
          <w:color w:val="000000"/>
          <w:sz w:val="24"/>
          <w:szCs w:val="24"/>
          <w:shd w:val="clear" w:color="auto" w:fill="FFFFFF"/>
        </w:rPr>
        <w:t>microempreendedores</w:t>
      </w:r>
      <w:proofErr w:type="spellEnd"/>
      <w:r w:rsidRPr="00AC1C10">
        <w:rPr>
          <w:rFonts w:cstheme="minorHAnsi"/>
          <w:color w:val="000000"/>
          <w:sz w:val="24"/>
          <w:szCs w:val="24"/>
          <w:shd w:val="clear" w:color="auto" w:fill="FFFFFF"/>
        </w:rPr>
        <w:t xml:space="preserve"> individuais justificaram por meio de declaração assinada pelos seus contabilistas a ausência de balanço patrimonial conforme prerrogativa legal. Forçoso reconhecer que os </w:t>
      </w:r>
      <w:proofErr w:type="spellStart"/>
      <w:proofErr w:type="gramStart"/>
      <w:r w:rsidRPr="00AC1C10">
        <w:rPr>
          <w:rFonts w:cstheme="minorHAnsi"/>
          <w:color w:val="000000"/>
          <w:sz w:val="24"/>
          <w:szCs w:val="24"/>
          <w:shd w:val="clear" w:color="auto" w:fill="FFFFFF"/>
        </w:rPr>
        <w:t>MEI´</w:t>
      </w:r>
      <w:proofErr w:type="spellEnd"/>
      <w:proofErr w:type="gramEnd"/>
      <w:r w:rsidRPr="00AC1C10">
        <w:rPr>
          <w:rFonts w:cstheme="minorHAnsi"/>
          <w:color w:val="000000"/>
          <w:sz w:val="24"/>
          <w:szCs w:val="24"/>
          <w:shd w:val="clear" w:color="auto" w:fill="FFFFFF"/>
        </w:rPr>
        <w:t>s estão desobrigados de produzir balanço patrimonial. Desse modo todas as empresas licitantes foram </w:t>
      </w:r>
      <w:r w:rsidRPr="00AC1C1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HABILITADAS: CATIUSI MARTA PEREIRA 08550959979, GILBERTO BORGES DA CRUZ 03579465961, AIRTON JOSE FORMIGHIERI 59209151968, LEOZIR FRIZZO E CIA LTDA e JOSÉ GILBERTO DE CAMPOS</w:t>
      </w:r>
      <w:r w:rsidRPr="00AC1C10">
        <w:rPr>
          <w:rFonts w:cstheme="minorHAnsi"/>
          <w:color w:val="000000"/>
          <w:sz w:val="24"/>
          <w:szCs w:val="24"/>
          <w:shd w:val="clear" w:color="auto" w:fill="FFFFFF"/>
        </w:rPr>
        <w:t>. Ato contínuo </w:t>
      </w:r>
      <w:r w:rsidRPr="00AC1C1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agenda-se a data de 27/11/2019</w:t>
      </w:r>
      <w:r w:rsidRPr="00AC1C10">
        <w:rPr>
          <w:rFonts w:cstheme="minorHAnsi"/>
          <w:color w:val="000000"/>
          <w:sz w:val="24"/>
          <w:szCs w:val="24"/>
          <w:shd w:val="clear" w:color="auto" w:fill="FFFFFF"/>
        </w:rPr>
        <w:t> para abertura dos envelopes das propostas. As licitantes que desejarem acompanhar devem comparecer no Setor de compras e licitação até as </w:t>
      </w:r>
      <w:r w:rsidRPr="00AC1C1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10 horas e </w:t>
      </w:r>
      <w:proofErr w:type="gramStart"/>
      <w:r w:rsidRPr="00AC1C1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00 minutos</w:t>
      </w:r>
      <w:proofErr w:type="gramEnd"/>
      <w:r w:rsidRPr="00AC1C10">
        <w:rPr>
          <w:rFonts w:cstheme="minorHAnsi"/>
          <w:color w:val="000000"/>
          <w:sz w:val="24"/>
          <w:szCs w:val="24"/>
          <w:shd w:val="clear" w:color="auto" w:fill="FFFFFF"/>
        </w:rPr>
        <w:t xml:space="preserve">, quando se dará prosseguimento aos encaminhamentos do procedimento licitatório. Qualquer solicitação de cópias da documentação referente a esse processo obedecerá ao prazo legal conforme lei federal 12.527/2011. Deixada a palavra livre ninguém fez uso dela. Dessa maneira encerra-se </w:t>
      </w:r>
      <w:proofErr w:type="gramStart"/>
      <w:r w:rsidRPr="00AC1C10">
        <w:rPr>
          <w:rFonts w:cstheme="minorHAnsi"/>
          <w:color w:val="000000"/>
          <w:sz w:val="24"/>
          <w:szCs w:val="24"/>
          <w:shd w:val="clear" w:color="auto" w:fill="FFFFFF"/>
        </w:rPr>
        <w:t>a presente</w:t>
      </w:r>
      <w:proofErr w:type="gramEnd"/>
      <w:r w:rsidRPr="00AC1C10">
        <w:rPr>
          <w:rFonts w:cstheme="minorHAnsi"/>
          <w:color w:val="000000"/>
          <w:sz w:val="24"/>
          <w:szCs w:val="24"/>
          <w:shd w:val="clear" w:color="auto" w:fill="FFFFFF"/>
        </w:rPr>
        <w:t xml:space="preserve"> ata a qual todos passam a assinar.</w:t>
      </w:r>
    </w:p>
    <w:sectPr w:rsidR="00233169" w:rsidRPr="00AC1C10" w:rsidSect="00B338B4">
      <w:headerReference w:type="default" r:id="rId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8B4" w:rsidRDefault="00AC1C10" w:rsidP="00B338B4">
    <w:pPr>
      <w:pStyle w:val="Cabealho"/>
      <w:jc w:val="center"/>
      <w:rPr>
        <w:sz w:val="32"/>
      </w:rPr>
    </w:pPr>
    <w:r>
      <w:rPr>
        <w:noProof/>
        <w:sz w:val="32"/>
        <w:lang w:eastAsia="pt-BR"/>
      </w:rPr>
      <w:drawing>
        <wp:inline distT="0" distB="0" distL="0" distR="0">
          <wp:extent cx="485775" cy="523875"/>
          <wp:effectExtent l="19050" t="0" r="9525" b="0"/>
          <wp:docPr id="1" name="Imagem 1" descr="ponteser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onteserr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38B4" w:rsidRPr="00CD53FA" w:rsidRDefault="00AC1C10" w:rsidP="00B338B4">
    <w:pPr>
      <w:pStyle w:val="Cabealho"/>
      <w:jc w:val="center"/>
      <w:rPr>
        <w:b/>
        <w:sz w:val="18"/>
      </w:rPr>
    </w:pPr>
    <w:r w:rsidRPr="00CD53FA">
      <w:rPr>
        <w:b/>
        <w:sz w:val="28"/>
      </w:rPr>
      <w:t>ESTADO DE SANTA CATARINA</w:t>
    </w:r>
  </w:p>
  <w:p w:rsidR="00B338B4" w:rsidRPr="00CD53FA" w:rsidRDefault="00AC1C10" w:rsidP="00B338B4">
    <w:pPr>
      <w:pStyle w:val="Cabealho"/>
      <w:jc w:val="center"/>
      <w:rPr>
        <w:b/>
        <w:sz w:val="28"/>
      </w:rPr>
    </w:pPr>
    <w:r w:rsidRPr="00CD53FA">
      <w:rPr>
        <w:b/>
        <w:sz w:val="28"/>
      </w:rPr>
      <w:t xml:space="preserve">MUNICÍPIO DE PONTE </w:t>
    </w:r>
    <w:r w:rsidRPr="00CD53FA">
      <w:rPr>
        <w:b/>
        <w:sz w:val="28"/>
      </w:rPr>
      <w:t>SERRADA</w:t>
    </w:r>
  </w:p>
  <w:p w:rsidR="00B338B4" w:rsidRDefault="00AC1C10" w:rsidP="00B338B4">
    <w:pPr>
      <w:pStyle w:val="Cabealho"/>
      <w:jc w:val="center"/>
      <w:rPr>
        <w:b/>
        <w:sz w:val="24"/>
      </w:rPr>
    </w:pPr>
    <w:r w:rsidRPr="00CD53FA">
      <w:rPr>
        <w:b/>
        <w:sz w:val="24"/>
      </w:rPr>
      <w:t>SECRETARIA MUNICIPAL DE ADMINISTRAÇÃO</w:t>
    </w:r>
  </w:p>
  <w:p w:rsidR="00B338B4" w:rsidRDefault="00AC1C1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4E5"/>
    <w:rsid w:val="00005CFA"/>
    <w:rsid w:val="00612FAA"/>
    <w:rsid w:val="008E7608"/>
    <w:rsid w:val="009954E5"/>
    <w:rsid w:val="00A66667"/>
    <w:rsid w:val="00AC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4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5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54E5"/>
  </w:style>
  <w:style w:type="paragraph" w:styleId="Textodebalo">
    <w:name w:val="Balloon Text"/>
    <w:basedOn w:val="Normal"/>
    <w:link w:val="TextodebaloChar"/>
    <w:uiPriority w:val="99"/>
    <w:semiHidden/>
    <w:unhideWhenUsed/>
    <w:rsid w:val="0099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</dc:creator>
  <cp:lastModifiedBy>JAQUE</cp:lastModifiedBy>
  <cp:revision>9</cp:revision>
  <dcterms:created xsi:type="dcterms:W3CDTF">2019-11-21T14:12:00Z</dcterms:created>
  <dcterms:modified xsi:type="dcterms:W3CDTF">2019-11-21T14:29:00Z</dcterms:modified>
</cp:coreProperties>
</file>