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0A" w:rsidRPr="000B4140" w:rsidRDefault="007F640A" w:rsidP="002B2D1A">
      <w:pPr>
        <w:pStyle w:val="Ttulo6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140">
        <w:rPr>
          <w:rFonts w:ascii="Arial" w:hAnsi="Arial" w:cs="Arial"/>
          <w:b/>
          <w:sz w:val="22"/>
          <w:szCs w:val="22"/>
        </w:rPr>
        <w:t>PARECER JURÍDICO</w:t>
      </w:r>
    </w:p>
    <w:p w:rsidR="007F640A" w:rsidRPr="000B4140" w:rsidRDefault="007F640A" w:rsidP="004C348E">
      <w:pPr>
        <w:spacing w:after="0" w:line="360" w:lineRule="auto"/>
        <w:jc w:val="both"/>
        <w:rPr>
          <w:rFonts w:ascii="Arial" w:hAnsi="Arial" w:cs="Arial"/>
        </w:rPr>
      </w:pPr>
    </w:p>
    <w:p w:rsidR="00A97127" w:rsidRPr="000B4140" w:rsidRDefault="007F640A" w:rsidP="002B2D1A">
      <w:pPr>
        <w:spacing w:after="0" w:line="360" w:lineRule="auto"/>
        <w:ind w:firstLine="1418"/>
        <w:jc w:val="both"/>
        <w:rPr>
          <w:rFonts w:ascii="Arial" w:hAnsi="Arial" w:cs="Arial"/>
          <w:b/>
        </w:rPr>
      </w:pPr>
      <w:r w:rsidRPr="000B4140">
        <w:rPr>
          <w:rFonts w:ascii="Arial" w:hAnsi="Arial" w:cs="Arial"/>
          <w:b/>
        </w:rPr>
        <w:t>OBJETO DE ANÁLISE:</w:t>
      </w:r>
    </w:p>
    <w:p w:rsidR="00102C96" w:rsidRPr="000B4140" w:rsidRDefault="007F640A" w:rsidP="00756779">
      <w:pPr>
        <w:tabs>
          <w:tab w:val="num" w:pos="142"/>
          <w:tab w:val="num" w:pos="426"/>
        </w:tabs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 xml:space="preserve">Foi solicitado Parecer Jurídico sobre </w:t>
      </w:r>
      <w:r w:rsidR="00BA2840" w:rsidRPr="000B4140">
        <w:rPr>
          <w:rFonts w:ascii="Arial" w:hAnsi="Arial" w:cs="Arial"/>
        </w:rPr>
        <w:t xml:space="preserve">a </w:t>
      </w:r>
      <w:r w:rsidR="00CB2E4D" w:rsidRPr="000B4140">
        <w:rPr>
          <w:rFonts w:ascii="Arial" w:hAnsi="Arial" w:cs="Arial"/>
        </w:rPr>
        <w:t>impugnação apresen</w:t>
      </w:r>
      <w:r w:rsidR="00A066F1" w:rsidRPr="000B4140">
        <w:rPr>
          <w:rFonts w:ascii="Arial" w:hAnsi="Arial" w:cs="Arial"/>
        </w:rPr>
        <w:t xml:space="preserve">tada junto ao </w:t>
      </w:r>
      <w:r w:rsidR="00756779" w:rsidRPr="000B4140">
        <w:rPr>
          <w:rFonts w:ascii="Arial" w:hAnsi="Arial" w:cs="Arial"/>
        </w:rPr>
        <w:t xml:space="preserve">Edital de Pregão Presencial n. </w:t>
      </w:r>
      <w:r w:rsidR="00A1415C" w:rsidRPr="000B4140">
        <w:rPr>
          <w:rFonts w:ascii="Arial" w:hAnsi="Arial" w:cs="Arial"/>
        </w:rPr>
        <w:t>36</w:t>
      </w:r>
      <w:r w:rsidR="00C60855" w:rsidRPr="000B4140">
        <w:rPr>
          <w:rFonts w:ascii="Arial" w:hAnsi="Arial" w:cs="Arial"/>
        </w:rPr>
        <w:t>/2021</w:t>
      </w:r>
      <w:r w:rsidR="00A066F1" w:rsidRPr="000B4140">
        <w:rPr>
          <w:rFonts w:ascii="Arial" w:hAnsi="Arial" w:cs="Arial"/>
        </w:rPr>
        <w:t>,</w:t>
      </w:r>
      <w:r w:rsidR="00A1415C" w:rsidRPr="000B4140">
        <w:rPr>
          <w:rFonts w:ascii="Arial" w:hAnsi="Arial" w:cs="Arial"/>
        </w:rPr>
        <w:t xml:space="preserve"> processo licitatório n. 36</w:t>
      </w:r>
      <w:r w:rsidR="00C60855" w:rsidRPr="000B4140">
        <w:rPr>
          <w:rFonts w:ascii="Arial" w:hAnsi="Arial" w:cs="Arial"/>
        </w:rPr>
        <w:t>/2021</w:t>
      </w:r>
      <w:r w:rsidR="00CB2E4D" w:rsidRPr="000B4140">
        <w:rPr>
          <w:rFonts w:ascii="Arial" w:hAnsi="Arial" w:cs="Arial"/>
        </w:rPr>
        <w:t xml:space="preserve">, referente </w:t>
      </w:r>
      <w:r w:rsidR="00A97127" w:rsidRPr="000B4140">
        <w:rPr>
          <w:rFonts w:ascii="Arial" w:hAnsi="Arial" w:cs="Arial"/>
        </w:rPr>
        <w:t>à</w:t>
      </w:r>
      <w:r w:rsidR="00CB2E4D" w:rsidRPr="000B4140">
        <w:rPr>
          <w:rFonts w:ascii="Arial" w:hAnsi="Arial" w:cs="Arial"/>
        </w:rPr>
        <w:t xml:space="preserve"> </w:t>
      </w:r>
      <w:r w:rsidR="00A97127" w:rsidRPr="000B4140">
        <w:rPr>
          <w:rFonts w:ascii="Arial" w:hAnsi="Arial" w:cs="Arial"/>
        </w:rPr>
        <w:t>“</w:t>
      </w:r>
      <w:r w:rsidR="00C30C88" w:rsidRPr="000B4140">
        <w:rPr>
          <w:rFonts w:ascii="Arial" w:hAnsi="Arial" w:cs="Arial"/>
          <w:shd w:val="clear" w:color="auto" w:fill="FFFFFF"/>
        </w:rPr>
        <w:t>R</w:t>
      </w:r>
      <w:r w:rsidR="00102C96" w:rsidRPr="000B4140">
        <w:rPr>
          <w:rFonts w:ascii="Arial" w:hAnsi="Arial" w:cs="Arial"/>
          <w:shd w:val="clear" w:color="auto" w:fill="FFFFFF"/>
        </w:rPr>
        <w:t xml:space="preserve">egistro de para aquisição </w:t>
      </w:r>
      <w:r w:rsidR="00756779" w:rsidRPr="000B4140">
        <w:rPr>
          <w:rFonts w:ascii="Arial" w:hAnsi="Arial" w:cs="Arial"/>
          <w:shd w:val="clear" w:color="auto" w:fill="FFFFFF"/>
        </w:rPr>
        <w:t>de peças originais/genuínas para manutenção da</w:t>
      </w:r>
      <w:r w:rsidR="00C30C88" w:rsidRPr="000B4140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30C88" w:rsidRPr="000B4140">
        <w:rPr>
          <w:rFonts w:ascii="Arial" w:hAnsi="Arial" w:cs="Arial"/>
          <w:shd w:val="clear" w:color="auto" w:fill="FFFFFF"/>
        </w:rPr>
        <w:t>motoniveladora</w:t>
      </w:r>
      <w:proofErr w:type="spellEnd"/>
      <w:r w:rsidR="00C30C88" w:rsidRPr="000B4140">
        <w:rPr>
          <w:rFonts w:ascii="Arial" w:hAnsi="Arial" w:cs="Arial"/>
          <w:shd w:val="clear" w:color="auto" w:fill="FFFFFF"/>
        </w:rPr>
        <w:t xml:space="preserve"> Caterpillar 140k</w:t>
      </w:r>
      <w:r w:rsidR="00102C96" w:rsidRPr="000B4140">
        <w:rPr>
          <w:rFonts w:ascii="Arial" w:hAnsi="Arial" w:cs="Arial"/>
          <w:shd w:val="clear" w:color="auto" w:fill="FFFFFF"/>
        </w:rPr>
        <w:t>”</w:t>
      </w:r>
      <w:r w:rsidR="00A97127" w:rsidRPr="000B4140">
        <w:rPr>
          <w:rFonts w:ascii="Arial" w:hAnsi="Arial" w:cs="Arial"/>
        </w:rPr>
        <w:t xml:space="preserve"> tendo a empresa</w:t>
      </w:r>
      <w:r w:rsidR="00756779" w:rsidRPr="000B4140">
        <w:rPr>
          <w:rFonts w:ascii="Arial" w:hAnsi="Arial" w:cs="Arial"/>
        </w:rPr>
        <w:t xml:space="preserve"> MGS Comércio de Peças </w:t>
      </w:r>
      <w:proofErr w:type="spellStart"/>
      <w:r w:rsidR="00756779" w:rsidRPr="000B4140">
        <w:rPr>
          <w:rFonts w:ascii="Arial" w:hAnsi="Arial" w:cs="Arial"/>
        </w:rPr>
        <w:t>Ltda</w:t>
      </w:r>
      <w:proofErr w:type="spellEnd"/>
      <w:r w:rsidR="00A97127" w:rsidRPr="000B4140">
        <w:rPr>
          <w:rFonts w:ascii="Arial" w:hAnsi="Arial" w:cs="Arial"/>
        </w:rPr>
        <w:t xml:space="preserve">, apresentado impugnação referente </w:t>
      </w:r>
      <w:r w:rsidR="00130CDE" w:rsidRPr="000B4140">
        <w:rPr>
          <w:rFonts w:ascii="Arial" w:hAnsi="Arial" w:cs="Arial"/>
        </w:rPr>
        <w:t>a disposição de localização geográfica limitada a 150 (cento e cinquenta) km de distância do Município.</w:t>
      </w:r>
      <w:r w:rsidR="00A97127" w:rsidRPr="000B4140">
        <w:rPr>
          <w:rFonts w:ascii="Arial" w:hAnsi="Arial" w:cs="Arial"/>
        </w:rPr>
        <w:t xml:space="preserve"> </w:t>
      </w:r>
    </w:p>
    <w:p w:rsidR="00A97127" w:rsidRPr="000B4140" w:rsidRDefault="00A97127" w:rsidP="004C348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>A presente Impugnação deve ser analisada por ser tempestiva a sua apresentação</w:t>
      </w:r>
      <w:r w:rsidR="00B0728A">
        <w:rPr>
          <w:rFonts w:ascii="Arial" w:hAnsi="Arial" w:cs="Arial"/>
        </w:rPr>
        <w:t>,0</w:t>
      </w:r>
      <w:r w:rsidRPr="000B4140">
        <w:rPr>
          <w:rFonts w:ascii="Arial" w:hAnsi="Arial" w:cs="Arial"/>
        </w:rPr>
        <w:t xml:space="preserve"> protocolado dentro do prazo legal</w:t>
      </w:r>
      <w:r w:rsidR="00F6094D" w:rsidRPr="000B4140">
        <w:rPr>
          <w:rFonts w:ascii="Arial" w:hAnsi="Arial" w:cs="Arial"/>
        </w:rPr>
        <w:t xml:space="preserve">, pois a Licitação será realizada na data </w:t>
      </w:r>
      <w:proofErr w:type="gramStart"/>
      <w:r w:rsidR="00F6094D" w:rsidRPr="000B4140">
        <w:rPr>
          <w:rFonts w:ascii="Arial" w:hAnsi="Arial" w:cs="Arial"/>
        </w:rPr>
        <w:t>de</w:t>
      </w:r>
      <w:r w:rsidR="00CD0E70" w:rsidRPr="000B4140">
        <w:rPr>
          <w:rFonts w:ascii="Arial" w:hAnsi="Arial" w:cs="Arial"/>
        </w:rPr>
        <w:t xml:space="preserve"> </w:t>
      </w:r>
      <w:r w:rsidR="00130CDE" w:rsidRPr="000B4140">
        <w:rPr>
          <w:rFonts w:ascii="Arial" w:hAnsi="Arial" w:cs="Arial"/>
        </w:rPr>
        <w:t xml:space="preserve"> </w:t>
      </w:r>
      <w:r w:rsidR="000D0831" w:rsidRPr="000B4140">
        <w:rPr>
          <w:rFonts w:ascii="Arial" w:hAnsi="Arial" w:cs="Arial"/>
        </w:rPr>
        <w:t>6</w:t>
      </w:r>
      <w:proofErr w:type="gramEnd"/>
      <w:r w:rsidR="000D0831" w:rsidRPr="000B4140">
        <w:rPr>
          <w:rFonts w:ascii="Arial" w:hAnsi="Arial" w:cs="Arial"/>
        </w:rPr>
        <w:t xml:space="preserve"> de abril </w:t>
      </w:r>
      <w:r w:rsidR="00CD0E70" w:rsidRPr="000B4140">
        <w:rPr>
          <w:rFonts w:ascii="Arial" w:hAnsi="Arial" w:cs="Arial"/>
        </w:rPr>
        <w:t>de 2021</w:t>
      </w:r>
      <w:r w:rsidR="00F6094D" w:rsidRPr="000B4140">
        <w:rPr>
          <w:rFonts w:ascii="Arial" w:hAnsi="Arial" w:cs="Arial"/>
        </w:rPr>
        <w:t xml:space="preserve">. </w:t>
      </w:r>
    </w:p>
    <w:p w:rsidR="00322C46" w:rsidRPr="000B4140" w:rsidRDefault="002B2D1A" w:rsidP="004C348E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b/>
        </w:rPr>
      </w:pPr>
      <w:r w:rsidRPr="000B4140">
        <w:rPr>
          <w:rFonts w:ascii="Arial" w:hAnsi="Arial" w:cs="Arial"/>
          <w:b/>
        </w:rPr>
        <w:t>FUNDAMENTAÇÃO</w:t>
      </w:r>
      <w:r w:rsidR="00322C46" w:rsidRPr="000B4140">
        <w:rPr>
          <w:rFonts w:ascii="Arial" w:hAnsi="Arial" w:cs="Arial"/>
          <w:b/>
        </w:rPr>
        <w:t xml:space="preserve">: </w:t>
      </w:r>
    </w:p>
    <w:p w:rsidR="000D0831" w:rsidRPr="000B4140" w:rsidRDefault="00322C46" w:rsidP="00E81A3C">
      <w:pPr>
        <w:spacing w:after="0" w:line="360" w:lineRule="auto"/>
        <w:ind w:firstLine="1418"/>
        <w:jc w:val="both"/>
        <w:rPr>
          <w:rFonts w:ascii="Arial" w:hAnsi="Arial" w:cs="Arial"/>
          <w:b/>
        </w:rPr>
      </w:pPr>
      <w:r w:rsidRPr="000B4140">
        <w:rPr>
          <w:rFonts w:ascii="Arial" w:hAnsi="Arial" w:cs="Arial"/>
        </w:rPr>
        <w:t>O Município através do Processo Licitatório na mo</w:t>
      </w:r>
      <w:r w:rsidR="002B2D1A" w:rsidRPr="000B4140">
        <w:rPr>
          <w:rFonts w:ascii="Arial" w:hAnsi="Arial" w:cs="Arial"/>
        </w:rPr>
        <w:t>dalidade de Pregão Eletrônico n.</w:t>
      </w:r>
      <w:r w:rsidR="000D0831" w:rsidRPr="000B4140">
        <w:rPr>
          <w:rFonts w:ascii="Arial" w:hAnsi="Arial" w:cs="Arial"/>
        </w:rPr>
        <w:t xml:space="preserve"> 36</w:t>
      </w:r>
      <w:r w:rsidRPr="000B4140">
        <w:rPr>
          <w:rFonts w:ascii="Arial" w:hAnsi="Arial" w:cs="Arial"/>
        </w:rPr>
        <w:t>/2</w:t>
      </w:r>
      <w:r w:rsidR="000D0831" w:rsidRPr="000B4140">
        <w:rPr>
          <w:rFonts w:ascii="Arial" w:hAnsi="Arial" w:cs="Arial"/>
        </w:rPr>
        <w:t>021 e Processo Licitatório n. 3</w:t>
      </w:r>
      <w:r w:rsidR="00756779" w:rsidRPr="000B4140">
        <w:rPr>
          <w:rFonts w:ascii="Arial" w:hAnsi="Arial" w:cs="Arial"/>
        </w:rPr>
        <w:t>6/2021, visando à aquisição de</w:t>
      </w:r>
      <w:r w:rsidR="00756779" w:rsidRPr="000B4140">
        <w:rPr>
          <w:rFonts w:ascii="Arial" w:hAnsi="Arial" w:cs="Arial"/>
          <w:shd w:val="clear" w:color="auto" w:fill="FFFFFF"/>
        </w:rPr>
        <w:t xml:space="preserve"> </w:t>
      </w:r>
      <w:r w:rsidR="000D0831" w:rsidRPr="000B4140">
        <w:rPr>
          <w:rFonts w:ascii="Arial" w:hAnsi="Arial" w:cs="Arial"/>
          <w:shd w:val="clear" w:color="auto" w:fill="FFFFFF"/>
        </w:rPr>
        <w:t xml:space="preserve">originais/genuínas para manutenção da </w:t>
      </w:r>
      <w:proofErr w:type="spellStart"/>
      <w:r w:rsidR="000D0831" w:rsidRPr="000B4140">
        <w:rPr>
          <w:rFonts w:ascii="Arial" w:hAnsi="Arial" w:cs="Arial"/>
          <w:shd w:val="clear" w:color="auto" w:fill="FFFFFF"/>
        </w:rPr>
        <w:t>motoniveladora</w:t>
      </w:r>
      <w:proofErr w:type="spellEnd"/>
      <w:r w:rsidR="000D0831" w:rsidRPr="000B4140">
        <w:rPr>
          <w:rFonts w:ascii="Arial" w:hAnsi="Arial" w:cs="Arial"/>
          <w:shd w:val="clear" w:color="auto" w:fill="FFFFFF"/>
        </w:rPr>
        <w:t xml:space="preserve"> Caterpillar 140k”</w:t>
      </w:r>
      <w:r w:rsidR="00756779" w:rsidRPr="000B4140">
        <w:rPr>
          <w:rFonts w:ascii="Arial" w:hAnsi="Arial" w:cs="Arial"/>
          <w:shd w:val="clear" w:color="auto" w:fill="FFFFFF"/>
        </w:rPr>
        <w:t>, para manutenção da Secretária de Transportes e Obras</w:t>
      </w:r>
      <w:r w:rsidRPr="000B4140">
        <w:rPr>
          <w:rFonts w:ascii="Arial" w:hAnsi="Arial" w:cs="Arial"/>
          <w:shd w:val="clear" w:color="auto" w:fill="FFFFFF"/>
        </w:rPr>
        <w:t xml:space="preserve">, </w:t>
      </w:r>
      <w:r w:rsidRPr="000B4140">
        <w:rPr>
          <w:rFonts w:ascii="Arial" w:hAnsi="Arial" w:cs="Arial"/>
        </w:rPr>
        <w:t xml:space="preserve">onde a empresa </w:t>
      </w:r>
      <w:r w:rsidR="00756779" w:rsidRPr="000B4140">
        <w:rPr>
          <w:rFonts w:ascii="Arial" w:hAnsi="Arial" w:cs="Arial"/>
        </w:rPr>
        <w:t>MGS</w:t>
      </w:r>
      <w:r w:rsidRPr="000B4140">
        <w:rPr>
          <w:rFonts w:ascii="Arial" w:hAnsi="Arial" w:cs="Arial"/>
        </w:rPr>
        <w:t xml:space="preserve">, impugnou o item </w:t>
      </w:r>
      <w:r w:rsidR="000D0831" w:rsidRPr="000B4140">
        <w:rPr>
          <w:rFonts w:ascii="Arial" w:hAnsi="Arial" w:cs="Arial"/>
        </w:rPr>
        <w:t>2</w:t>
      </w:r>
      <w:r w:rsidRPr="000B4140">
        <w:rPr>
          <w:rFonts w:ascii="Arial" w:hAnsi="Arial" w:cs="Arial"/>
        </w:rPr>
        <w:t xml:space="preserve">- do Edital referente </w:t>
      </w:r>
      <w:r w:rsidR="00756779" w:rsidRPr="000B4140">
        <w:rPr>
          <w:rFonts w:ascii="Arial" w:hAnsi="Arial" w:cs="Arial"/>
        </w:rPr>
        <w:t>a</w:t>
      </w:r>
      <w:r w:rsidR="000D0831" w:rsidRPr="000B4140">
        <w:rPr>
          <w:rFonts w:ascii="Arial" w:hAnsi="Arial" w:cs="Arial"/>
        </w:rPr>
        <w:t>o objeto</w:t>
      </w:r>
      <w:r w:rsidR="00E81A3C" w:rsidRPr="000B4140">
        <w:rPr>
          <w:rFonts w:ascii="Arial" w:hAnsi="Arial" w:cs="Arial"/>
        </w:rPr>
        <w:t>.</w:t>
      </w:r>
    </w:p>
    <w:p w:rsidR="004C348E" w:rsidRPr="000B4140" w:rsidRDefault="00322C46" w:rsidP="004C348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 xml:space="preserve">Como é de conhecimento a Licitação é o procedimento administrativo mediante o qual a Administração Pública seleciona a proposta mais vantajosa para o contrato de seu interesse. Visa propiciar iguais oportunidades aos que desejam contratar com o Poder Público, dentro dos padrões previamente estabelecidos pela administração que atua como fator de eficiência e moralidade nos negócios administrativos. É o meio técnico- legal de verificação das melhores condições para a execução de obras e serviços, compra de materiais e alienação de bens públicos. </w:t>
      </w:r>
    </w:p>
    <w:p w:rsidR="00322C46" w:rsidRPr="000B4140" w:rsidRDefault="00322C46" w:rsidP="004C348E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>Quanto a impugnação, não assiste razão ao interessado.</w:t>
      </w:r>
    </w:p>
    <w:p w:rsidR="00E81A3C" w:rsidRPr="000B4140" w:rsidRDefault="00E81A3C" w:rsidP="00E81A3C">
      <w:pPr>
        <w:spacing w:after="0" w:line="360" w:lineRule="auto"/>
        <w:ind w:firstLine="1418"/>
        <w:jc w:val="both"/>
        <w:rPr>
          <w:rFonts w:ascii="Arial" w:hAnsi="Arial" w:cs="Arial"/>
          <w:shd w:val="clear" w:color="auto" w:fill="FFFFFF"/>
        </w:rPr>
      </w:pPr>
      <w:r w:rsidRPr="000B4140">
        <w:rPr>
          <w:rFonts w:ascii="Arial" w:hAnsi="Arial" w:cs="Arial"/>
        </w:rPr>
        <w:t>A indicação de</w:t>
      </w:r>
      <w:r w:rsidRPr="000B4140">
        <w:rPr>
          <w:rFonts w:ascii="Arial" w:hAnsi="Arial" w:cs="Arial"/>
          <w:shd w:val="clear" w:color="auto" w:fill="FFFFFF"/>
        </w:rPr>
        <w:t xml:space="preserve"> </w:t>
      </w:r>
      <w:r w:rsidRPr="000B4140">
        <w:rPr>
          <w:rFonts w:ascii="Arial" w:hAnsi="Arial" w:cs="Arial"/>
          <w:shd w:val="clear" w:color="auto" w:fill="FFFFFF"/>
        </w:rPr>
        <w:t xml:space="preserve">raio de participação, </w:t>
      </w:r>
      <w:r w:rsidRPr="000B4140">
        <w:rPr>
          <w:rFonts w:ascii="Arial" w:hAnsi="Arial" w:cs="Arial"/>
          <w:shd w:val="clear" w:color="auto" w:fill="FFFFFF"/>
        </w:rPr>
        <w:t>é válido</w:t>
      </w:r>
      <w:r w:rsidRPr="000B4140">
        <w:rPr>
          <w:rFonts w:ascii="Arial" w:hAnsi="Arial" w:cs="Arial"/>
          <w:shd w:val="clear" w:color="auto" w:fill="FFFFFF"/>
        </w:rPr>
        <w:t xml:space="preserve"> desde que o raio indicado esteja devidamente justificado no processo licitatório.</w:t>
      </w:r>
    </w:p>
    <w:p w:rsidR="00E81A3C" w:rsidRDefault="00E81A3C" w:rsidP="000B4140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  <w:shd w:val="clear" w:color="auto" w:fill="FFFFFF"/>
        </w:rPr>
        <w:t xml:space="preserve">No presente caso, o edital é claro: </w:t>
      </w:r>
    </w:p>
    <w:p w:rsidR="00E81A3C" w:rsidRPr="000B4140" w:rsidRDefault="00E81A3C" w:rsidP="00E81A3C">
      <w:pPr>
        <w:ind w:left="2268"/>
        <w:jc w:val="both"/>
        <w:rPr>
          <w:rFonts w:ascii="Arial" w:hAnsi="Arial" w:cs="Arial"/>
          <w:b/>
          <w:sz w:val="20"/>
          <w:szCs w:val="20"/>
        </w:rPr>
      </w:pPr>
      <w:r w:rsidRPr="000B4140">
        <w:rPr>
          <w:rFonts w:ascii="Arial" w:hAnsi="Arial" w:cs="Arial"/>
          <w:sz w:val="20"/>
          <w:szCs w:val="20"/>
        </w:rPr>
        <w:t xml:space="preserve">“Em anexo à proposta deverá apresentar declaração que prestará assistência técnica (sede da empresa) em uma distância máxima de 150 (cento e cinquenta) quilômetros do Município, </w:t>
      </w:r>
      <w:r w:rsidRPr="000B4140">
        <w:rPr>
          <w:rFonts w:ascii="Arial" w:hAnsi="Arial" w:cs="Arial"/>
          <w:b/>
          <w:sz w:val="20"/>
          <w:szCs w:val="20"/>
        </w:rPr>
        <w:t>indicando o local onde isso ocorrerá, possibilitando assim o acompanhamento da Comissão de Fiscalização</w:t>
      </w:r>
      <w:r w:rsidRPr="000B4140">
        <w:rPr>
          <w:rFonts w:ascii="Arial" w:hAnsi="Arial" w:cs="Arial"/>
          <w:sz w:val="20"/>
          <w:szCs w:val="20"/>
        </w:rPr>
        <w:t>”</w:t>
      </w:r>
      <w:r w:rsidRPr="000B4140">
        <w:rPr>
          <w:rFonts w:ascii="Arial" w:hAnsi="Arial" w:cs="Arial"/>
          <w:sz w:val="20"/>
          <w:szCs w:val="20"/>
        </w:rPr>
        <w:t xml:space="preserve"> (grifo nosso)</w:t>
      </w:r>
      <w:r w:rsidRPr="000B4140">
        <w:rPr>
          <w:rFonts w:ascii="Arial" w:hAnsi="Arial" w:cs="Arial"/>
          <w:sz w:val="20"/>
          <w:szCs w:val="20"/>
        </w:rPr>
        <w:t>.</w:t>
      </w:r>
    </w:p>
    <w:p w:rsidR="00D9457F" w:rsidRPr="000B4140" w:rsidRDefault="00253160" w:rsidP="00D9457F">
      <w:pPr>
        <w:spacing w:after="0" w:line="360" w:lineRule="auto"/>
        <w:ind w:firstLine="1418"/>
        <w:jc w:val="both"/>
        <w:rPr>
          <w:rFonts w:ascii="Arial" w:hAnsi="Arial" w:cs="Arial"/>
          <w:b/>
          <w:shd w:val="clear" w:color="auto" w:fill="FFFFFF"/>
        </w:rPr>
      </w:pP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A 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Administração justificou a colocação da referida cláusula, por motivos de logística e custo, considerando que a existência de oficina e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m raio maior 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inviabilizaria a agilidade e aumentaria em muito os custos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para acompanhamento e fiscalização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. Ademais, permitiu a participação, além das empresas situadas 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na região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(municípios vizinhos)</w:t>
      </w:r>
      <w:r w:rsidRPr="000B4140">
        <w:rPr>
          <w:rFonts w:ascii="Arial" w:hAnsi="Arial" w:cs="Arial"/>
          <w:b/>
          <w:shd w:val="clear" w:color="auto" w:fill="FFFFFF"/>
        </w:rPr>
        <w:t>,</w:t>
      </w:r>
      <w:r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 não restringindo o caráter competitivo do certame</w:t>
      </w:r>
      <w:r w:rsidRPr="000B4140">
        <w:rPr>
          <w:rFonts w:ascii="Arial" w:hAnsi="Arial" w:cs="Arial"/>
          <w:b/>
          <w:shd w:val="clear" w:color="auto" w:fill="FFFFFF"/>
        </w:rPr>
        <w:t>.</w:t>
      </w:r>
    </w:p>
    <w:p w:rsidR="00F53DCF" w:rsidRPr="000B4140" w:rsidRDefault="00B0728A" w:rsidP="00F53DCF">
      <w:pPr>
        <w:spacing w:after="0" w:line="360" w:lineRule="auto"/>
        <w:ind w:firstLine="141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A</w:t>
      </w:r>
      <w:bookmarkStart w:id="0" w:name="_GoBack"/>
      <w:bookmarkEnd w:id="0"/>
      <w:r w:rsidR="00D9457F"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limitação geográfica, </w:t>
      </w:r>
      <w:r w:rsidR="00D9457F" w:rsidRPr="000B4140">
        <w:rPr>
          <w:rStyle w:val="nfase"/>
          <w:rFonts w:ascii="Arial" w:hAnsi="Arial" w:cs="Arial"/>
          <w:bCs/>
          <w:bdr w:val="none" w:sz="0" w:space="0" w:color="auto" w:frame="1"/>
          <w:shd w:val="clear" w:color="auto" w:fill="FFFFFF"/>
        </w:rPr>
        <w:t xml:space="preserve">in </w:t>
      </w:r>
      <w:proofErr w:type="spellStart"/>
      <w:r w:rsidR="00D9457F" w:rsidRPr="000B4140">
        <w:rPr>
          <w:rStyle w:val="nfase"/>
          <w:rFonts w:ascii="Arial" w:hAnsi="Arial" w:cs="Arial"/>
          <w:bCs/>
          <w:bdr w:val="none" w:sz="0" w:space="0" w:color="auto" w:frame="1"/>
          <w:shd w:val="clear" w:color="auto" w:fill="FFFFFF"/>
        </w:rPr>
        <w:t>casu</w:t>
      </w:r>
      <w:proofErr w:type="spellEnd"/>
      <w:r w:rsidR="00D9457F"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>, mostra-se razoável e é justificada pela especificidade do certame, uma vez que eventuais gastos no deslocamento dos veículos da Prefeitura para a execução de serviços mecânicos, em cidades distantes, comprometeriam a economicidade dos contratos</w:t>
      </w:r>
      <w:r w:rsidR="00D9457F" w:rsidRPr="000B4140">
        <w:rPr>
          <w:rFonts w:ascii="Arial" w:hAnsi="Arial" w:cs="Arial"/>
          <w:shd w:val="clear" w:color="auto" w:fill="FFFFFF"/>
        </w:rPr>
        <w:t>.</w:t>
      </w:r>
    </w:p>
    <w:p w:rsidR="00F53DCF" w:rsidRPr="000B4140" w:rsidRDefault="00526C2D" w:rsidP="00F53DCF">
      <w:pPr>
        <w:spacing w:after="0" w:line="360" w:lineRule="auto"/>
        <w:ind w:firstLine="1418"/>
        <w:jc w:val="both"/>
        <w:rPr>
          <w:rFonts w:ascii="Arial" w:hAnsi="Arial" w:cs="Arial"/>
          <w:shd w:val="clear" w:color="auto" w:fill="FFFFFF"/>
        </w:rPr>
      </w:pPr>
      <w:r w:rsidRPr="000B4140">
        <w:rPr>
          <w:rFonts w:ascii="Arial" w:hAnsi="Arial" w:cs="Arial"/>
        </w:rPr>
        <w:t xml:space="preserve">Tem-se, destarte, que o direito de participar de licitação não constitui garantia absoluta e inquestionável de qualquer pessoa ou empresa. Apenas os que atendam às exigências feitas justificadamente pela administração podem invocar o seu direito subjetivo de ingressarem no certame e formularem as suas propostas. </w:t>
      </w:r>
    </w:p>
    <w:p w:rsidR="00D9457F" w:rsidRPr="000B4140" w:rsidRDefault="00F53DCF" w:rsidP="000B4140">
      <w:pPr>
        <w:spacing w:after="0" w:line="360" w:lineRule="auto"/>
        <w:ind w:firstLine="1418"/>
        <w:jc w:val="both"/>
        <w:rPr>
          <w:rFonts w:ascii="Arial" w:hAnsi="Arial" w:cs="Arial"/>
          <w:shd w:val="clear" w:color="auto" w:fill="FFFFFF"/>
        </w:rPr>
      </w:pPr>
      <w:r w:rsidRPr="000B4140">
        <w:rPr>
          <w:rFonts w:ascii="Arial" w:hAnsi="Arial" w:cs="Arial"/>
        </w:rPr>
        <w:t>O próprio § 1º, inc. I, do art. 3º da Lei nº 8.666/93 admite, de modo implícito, a adoção de cláusula discriminatória, desde que tenha pertinência e relevância para a seleção da proposta mais vantajosa. Veja</w:t>
      </w:r>
      <w:r w:rsidRPr="000B4140">
        <w:rPr>
          <w:rFonts w:ascii="Arial" w:hAnsi="Arial" w:cs="Arial"/>
        </w:rPr>
        <w:t>mos</w:t>
      </w:r>
      <w:r w:rsidRPr="000B4140">
        <w:rPr>
          <w:rFonts w:ascii="Arial" w:hAnsi="Arial" w:cs="Arial"/>
        </w:rPr>
        <w:t xml:space="preserve">: </w:t>
      </w:r>
    </w:p>
    <w:p w:rsidR="00F53DCF" w:rsidRPr="000B4140" w:rsidRDefault="00F53DCF" w:rsidP="00F53DC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B4140">
        <w:rPr>
          <w:rFonts w:ascii="Arial" w:hAnsi="Arial" w:cs="Arial"/>
          <w:sz w:val="20"/>
          <w:szCs w:val="20"/>
        </w:rPr>
        <w:t xml:space="preserve">Art. 3°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 </w:t>
      </w:r>
    </w:p>
    <w:p w:rsidR="00F53DCF" w:rsidRPr="000B4140" w:rsidRDefault="00F53DCF" w:rsidP="00F53DC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B4140">
        <w:rPr>
          <w:rFonts w:ascii="Arial" w:hAnsi="Arial" w:cs="Arial"/>
          <w:sz w:val="20"/>
          <w:szCs w:val="20"/>
        </w:rPr>
        <w:t xml:space="preserve">(...) </w:t>
      </w:r>
    </w:p>
    <w:p w:rsidR="00F53DCF" w:rsidRPr="000B4140" w:rsidRDefault="00F53DCF" w:rsidP="00F53DC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B4140">
        <w:rPr>
          <w:rFonts w:ascii="Arial" w:hAnsi="Arial" w:cs="Arial"/>
          <w:sz w:val="20"/>
          <w:szCs w:val="20"/>
        </w:rPr>
        <w:t xml:space="preserve">§ 1 o É vedado aos agentes públicos: </w:t>
      </w:r>
    </w:p>
    <w:p w:rsidR="00F53DCF" w:rsidRPr="000B4140" w:rsidRDefault="00F53DCF" w:rsidP="00F53DC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B4140">
        <w:rPr>
          <w:rFonts w:ascii="Arial" w:hAnsi="Arial" w:cs="Arial"/>
          <w:sz w:val="20"/>
          <w:szCs w:val="20"/>
        </w:rPr>
        <w:t xml:space="preserve">(...) </w:t>
      </w:r>
    </w:p>
    <w:p w:rsidR="00F53DCF" w:rsidRPr="000B4140" w:rsidRDefault="00F53DCF" w:rsidP="00F53DC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B4140">
        <w:rPr>
          <w:rFonts w:ascii="Arial" w:hAnsi="Arial" w:cs="Arial"/>
          <w:sz w:val="20"/>
          <w:szCs w:val="20"/>
        </w:rPr>
        <w:t xml:space="preserve">I - admitir, prever, incluir ou tolerar, nos atos de convocação, cláusulas ou condições que comprometam, restrinjam ou frustrem o seu caráter competitivo, inclusive nos casos de sociedades cooperativas, e estabeleçam preferências ou distinções em razão da naturalidade, da sede ou domicílio dos licitantes ou de qualquer outra circunstância impertinente ou irrelevante para o específico objeto do contrato, ressalvado o disposto nos §§ 5o a 12 deste artigo e no art. 3 o da Lei no </w:t>
      </w:r>
      <w:r w:rsidR="000B4140">
        <w:rPr>
          <w:rFonts w:ascii="Arial" w:hAnsi="Arial" w:cs="Arial"/>
          <w:sz w:val="20"/>
          <w:szCs w:val="20"/>
        </w:rPr>
        <w:t>8.248, de 23 de outubro de 1991.</w:t>
      </w:r>
    </w:p>
    <w:p w:rsidR="00E81A3C" w:rsidRPr="000B4140" w:rsidRDefault="00E81A3C" w:rsidP="00E81A3C">
      <w:pPr>
        <w:spacing w:after="0" w:line="360" w:lineRule="auto"/>
        <w:ind w:firstLine="1418"/>
        <w:jc w:val="both"/>
        <w:rPr>
          <w:rFonts w:ascii="Arial" w:hAnsi="Arial" w:cs="Arial"/>
          <w:shd w:val="clear" w:color="auto" w:fill="FFFFFF"/>
        </w:rPr>
      </w:pPr>
    </w:p>
    <w:p w:rsidR="006228D1" w:rsidRPr="000B4140" w:rsidRDefault="00F53DCF" w:rsidP="006228D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 xml:space="preserve">Em comentário ao citado dispositivo, </w:t>
      </w:r>
      <w:proofErr w:type="spellStart"/>
      <w:r w:rsidRPr="000B4140">
        <w:rPr>
          <w:rFonts w:ascii="Arial" w:hAnsi="Arial" w:cs="Arial"/>
        </w:rPr>
        <w:t>Justen</w:t>
      </w:r>
      <w:proofErr w:type="spellEnd"/>
      <w:r w:rsidRPr="000B4140">
        <w:rPr>
          <w:rFonts w:ascii="Arial" w:hAnsi="Arial" w:cs="Arial"/>
        </w:rPr>
        <w:t xml:space="preserve"> Filho aduz que ele “não impede a previsão de exigências rigorosas nem impossibilita exigências que apenas possam ser cumpridas por específicas pessoas. (...) Se a restrição for necessária para atender ao interesse coletivo, nenhuma irregula</w:t>
      </w:r>
      <w:r w:rsidR="009D043B" w:rsidRPr="000B4140">
        <w:rPr>
          <w:rFonts w:ascii="Arial" w:hAnsi="Arial" w:cs="Arial"/>
        </w:rPr>
        <w:t>ridade existirá em sua previsão</w:t>
      </w:r>
      <w:r w:rsidRPr="000B4140">
        <w:rPr>
          <w:rFonts w:ascii="Arial" w:hAnsi="Arial" w:cs="Arial"/>
        </w:rPr>
        <w:t>”</w:t>
      </w:r>
      <w:r w:rsidR="009D043B" w:rsidRPr="000B4140">
        <w:rPr>
          <w:rFonts w:ascii="Arial" w:hAnsi="Arial" w:cs="Arial"/>
        </w:rPr>
        <w:t xml:space="preserve"> </w:t>
      </w:r>
      <w:r w:rsidRPr="000B4140">
        <w:rPr>
          <w:rFonts w:ascii="Arial" w:hAnsi="Arial" w:cs="Arial"/>
        </w:rPr>
        <w:t>(JUSTEN FILHO, Marçal. Comentários à Lei de Licitações e Contratos Administrativos. 14ª Ed., Editora Dialética: São Paulo, 2010, p. 83).</w:t>
      </w:r>
    </w:p>
    <w:p w:rsidR="006228D1" w:rsidRPr="000B4140" w:rsidRDefault="006228D1" w:rsidP="006228D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 xml:space="preserve">Especificamente em relação à exigência de delimitação de localização geográfica do estabelecimento do contratado, </w:t>
      </w:r>
      <w:proofErr w:type="spellStart"/>
      <w:r w:rsidRPr="000B4140">
        <w:rPr>
          <w:rFonts w:ascii="Arial" w:hAnsi="Arial" w:cs="Arial"/>
        </w:rPr>
        <w:t>Justen</w:t>
      </w:r>
      <w:proofErr w:type="spellEnd"/>
      <w:r w:rsidRPr="000B4140">
        <w:rPr>
          <w:rFonts w:ascii="Arial" w:hAnsi="Arial" w:cs="Arial"/>
        </w:rPr>
        <w:t xml:space="preserve"> Filho ensina </w:t>
      </w:r>
      <w:r w:rsidRPr="000B4140">
        <w:rPr>
          <w:rFonts w:ascii="Arial" w:hAnsi="Arial" w:cs="Arial"/>
        </w:rPr>
        <w:t xml:space="preserve">ainda </w:t>
      </w:r>
      <w:r w:rsidRPr="000B4140">
        <w:rPr>
          <w:rFonts w:ascii="Arial" w:hAnsi="Arial" w:cs="Arial"/>
        </w:rPr>
        <w:t>que “existem hipóteses em que a Administração Pública está legitimada a exigir que o particular execute a prestação contratual em determinado local, sendo indispensável para tanto a existência de um estabelecimento geográfico em determinada região.”</w:t>
      </w:r>
      <w:r w:rsidRPr="000B4140">
        <w:rPr>
          <w:rFonts w:ascii="Arial" w:hAnsi="Arial" w:cs="Arial"/>
        </w:rPr>
        <w:t xml:space="preserve"> </w:t>
      </w:r>
    </w:p>
    <w:p w:rsidR="006228D1" w:rsidRPr="000B4140" w:rsidRDefault="006228D1" w:rsidP="006228D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lastRenderedPageBreak/>
        <w:t>Entende-se</w:t>
      </w:r>
      <w:r w:rsidRPr="000B4140">
        <w:rPr>
          <w:rFonts w:ascii="Arial" w:hAnsi="Arial" w:cs="Arial"/>
        </w:rPr>
        <w:t xml:space="preserve"> que a questão geográfica apresenta relevância sobre o conteúdo da prestação a ser executada, qual seja, a prestação de serviços de manutenção em veículos. Vale dizer, a localização geográfica da oficina pode ser considerada essencial e indispensável para a execução satisfatória do objeto do contrato. Isso porque, é preciso levar em conta que o deslocamento </w:t>
      </w:r>
      <w:r w:rsidRPr="000B4140">
        <w:rPr>
          <w:rFonts w:ascii="Arial" w:hAnsi="Arial" w:cs="Arial"/>
        </w:rPr>
        <w:t xml:space="preserve">para </w:t>
      </w:r>
      <w:r w:rsidRPr="000B4140">
        <w:rPr>
          <w:rFonts w:ascii="Arial" w:hAnsi="Arial" w:cs="Arial"/>
        </w:rPr>
        <w:t>o acompanhamento da Comissão de Fiscalização</w:t>
      </w:r>
      <w:r w:rsidRPr="000B4140">
        <w:rPr>
          <w:rFonts w:ascii="Arial" w:hAnsi="Arial" w:cs="Arial"/>
        </w:rPr>
        <w:t xml:space="preserve"> do serviço</w:t>
      </w:r>
      <w:r w:rsidRPr="000B4140">
        <w:rPr>
          <w:rFonts w:ascii="Arial" w:hAnsi="Arial" w:cs="Arial"/>
          <w:b/>
        </w:rPr>
        <w:t xml:space="preserve"> </w:t>
      </w:r>
      <w:r w:rsidRPr="000B4140">
        <w:rPr>
          <w:rFonts w:ascii="Arial" w:hAnsi="Arial" w:cs="Arial"/>
        </w:rPr>
        <w:t xml:space="preserve">importa consumo de combustível e tempo. Trata-se de questão de logística, que não ofende a isonomia, mas, sim, visa o melhor atendimento ao interesse público. Portanto, a restrição quanto à localização da </w:t>
      </w:r>
      <w:r w:rsidRPr="000B4140">
        <w:rPr>
          <w:rFonts w:ascii="Arial" w:hAnsi="Arial" w:cs="Arial"/>
        </w:rPr>
        <w:t>empresa</w:t>
      </w:r>
      <w:r w:rsidRPr="000B4140">
        <w:rPr>
          <w:rFonts w:ascii="Arial" w:hAnsi="Arial" w:cs="Arial"/>
        </w:rPr>
        <w:t xml:space="preserve"> contratada, imposta para atender a contento a Administração Pública, desde que razoável, é medida que vai ao encontro do binômio custo-benefício, que, por sua vez, se coaduna com o princípio da economicidade.</w:t>
      </w:r>
    </w:p>
    <w:p w:rsidR="008E0D2F" w:rsidRPr="000B4140" w:rsidRDefault="006228D1" w:rsidP="008E0D2F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>Conforme já exposto acima, faz-se oportuno, também, frisar que a referida condição imposta no edital não estaria ferindo o princípio da isonomia, inerente ao ordenamento jurídico-administrativo. Isso porque, a “isonomia significa o tratamento uniforme para situações uniformes, distinguindo-se as na medida em que</w:t>
      </w:r>
      <w:r w:rsidR="006E2021" w:rsidRPr="000B4140">
        <w:rPr>
          <w:rFonts w:ascii="Arial" w:hAnsi="Arial" w:cs="Arial"/>
        </w:rPr>
        <w:t xml:space="preserve"> exista diferença” </w:t>
      </w:r>
      <w:r w:rsidRPr="000B4140">
        <w:rPr>
          <w:rFonts w:ascii="Arial" w:hAnsi="Arial" w:cs="Arial"/>
        </w:rPr>
        <w:t>(JUSTEN FILHO, Marçal Comentários à lei de licitações e contratos administrativos.12. Ed. – São Paulo: Dialética, 2008, p. 70).</w:t>
      </w:r>
    </w:p>
    <w:p w:rsidR="00E81A3C" w:rsidRPr="000B4140" w:rsidRDefault="008E0D2F" w:rsidP="008E0D2F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 xml:space="preserve">Acerca da questão tratada, qual seja, a delimitação da localização geográfica do estabelecimento do contratado, cumpre colacionar decisão do Tribunal de Justiça do Rio Grande do Sul, que entendeu pela sua regularidade: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 xml:space="preserve">APELAÇÃO CÍVEL. LICITAÇÃO E CONTRATO ADMINISTRATIVO. PREGÃO PRESENCIAL. MECÂNICA E MANUTENÇÃO DE MÁQUINAS PESADAS. DISTÂNCIA MÁXIMA DA SEDE DO MUNICÍPIO. REQUISITOS. PERTINÊNCIA E RELEVÂNCIA. DENEGAÇÃO DA SEGURANÇA. Tratando-se de licitação para contratação de serviços de mecânica e manutenção de máquinas pesadas do Município, admite-se a adoção de requisito consistente em distância máxima da contratada de 30 km da sede do Município, para possibilitar célere e eficaz atendimento à municipalidade, sendo pertinente e relevante para a seleção da proposta mais vantajosa. Exegese do inciso Ido § 1º do art. 3º da Lei nº 8.666/93. Precedente do TJRGS. Apelação provida liminarmente.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 xml:space="preserve">(...)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 xml:space="preserve">Dentro do limite de 30 km da sede do Município de Dois Irmãos, empresas situadas diversas localidades poderiam participar, citando-se, por exemplo, Novo Hamburgo, com distância de 19,9 km; São Leopoldo, 19,9 km; Campo Bom, 24,6 km; e Sapiranga, 15,3 km (fonte: http://maps.google.com.br). A vencedora, </w:t>
      </w:r>
      <w:proofErr w:type="spellStart"/>
      <w:r w:rsidRPr="00D6130C">
        <w:rPr>
          <w:rFonts w:ascii="Arial" w:hAnsi="Arial" w:cs="Arial"/>
          <w:sz w:val="20"/>
          <w:szCs w:val="20"/>
        </w:rPr>
        <w:t>Dhein</w:t>
      </w:r>
      <w:proofErr w:type="spellEnd"/>
      <w:r w:rsidRPr="00D6130C">
        <w:rPr>
          <w:rFonts w:ascii="Arial" w:hAnsi="Arial" w:cs="Arial"/>
          <w:sz w:val="20"/>
          <w:szCs w:val="20"/>
        </w:rPr>
        <w:t xml:space="preserve"> Weber Oficina Mecânica Ltda., fl. 64, localiza-se em Ivoti/RS, demonstrando o mesmo site que a empresa está a 7,0 km do contratante.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  <w:u w:val="single"/>
        </w:rPr>
      </w:pPr>
      <w:r w:rsidRPr="008E0D2F">
        <w:rPr>
          <w:rFonts w:ascii="Arial" w:hAnsi="Arial" w:cs="Arial"/>
          <w:sz w:val="20"/>
          <w:szCs w:val="20"/>
        </w:rPr>
        <w:t>Não há falar, portanto, em benefício a determinados particulares, ausente direcionamento do certame, não dirigido a determinadas empresas conforme a localização, porquanto o raio de 30 km não frustra o caráter competitivo, permitindo a participação de várias empresas ao certame</w:t>
      </w:r>
      <w:r w:rsidRPr="00D6130C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 xml:space="preserve">A Lei nº 8.666 /93 disciplina a forma como a Administração deve proceder na obtenção da proposta que melhor atenda ao interesse público, cumprindo atentar ao que prevê seu art. 3º, § 1º, I: (...) Em relação ao tema, Marçal </w:t>
      </w:r>
      <w:proofErr w:type="spellStart"/>
      <w:r w:rsidRPr="00D6130C">
        <w:rPr>
          <w:rFonts w:ascii="Arial" w:hAnsi="Arial" w:cs="Arial"/>
          <w:sz w:val="20"/>
          <w:szCs w:val="20"/>
        </w:rPr>
        <w:t>Justen</w:t>
      </w:r>
      <w:proofErr w:type="spellEnd"/>
      <w:r w:rsidRPr="00D6130C">
        <w:rPr>
          <w:rFonts w:ascii="Arial" w:hAnsi="Arial" w:cs="Arial"/>
          <w:sz w:val="20"/>
          <w:szCs w:val="20"/>
        </w:rPr>
        <w:t xml:space="preserve"> Filho, em Comentários à Lei </w:t>
      </w:r>
      <w:r w:rsidRPr="00D6130C">
        <w:rPr>
          <w:rFonts w:ascii="Arial" w:hAnsi="Arial" w:cs="Arial"/>
          <w:sz w:val="20"/>
          <w:szCs w:val="20"/>
        </w:rPr>
        <w:lastRenderedPageBreak/>
        <w:t xml:space="preserve">de Licitações e Contratos Administrativos, Ed. Dialética, São Paulo, 2008, 12ª ed., pp. 79-80, ressalta que “O inc. I reprova a adoção de cláusulas discriminatórias fundadas em critérios não pertinentes ou não relevantes para o objeto da contratação. (...) Estão incluídos aqueles itens que disciplinam, de modo direito, condições de participação, exigência quanto às propostas, regras sobre julgamentos, etc. (...)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 xml:space="preserve">Terão de ser analisados conjuntamente a cláusula restritiva e o objeto da licitação. A invalidade não reside na restrição em si mesma, mas na incompatibilidade dessa restrição com o objeto da licitação. Aliás, essa interpretação é ratificada pelo previsto no art. 37, inc. XXI, da CF („...o qual somente permitirá as exigências de qualificação técnica e econômica indispensáveis à garantia do cumprimento das </w:t>
      </w:r>
      <w:proofErr w:type="gramStart"/>
      <w:r w:rsidRPr="00D6130C">
        <w:rPr>
          <w:rFonts w:ascii="Arial" w:hAnsi="Arial" w:cs="Arial"/>
          <w:sz w:val="20"/>
          <w:szCs w:val="20"/>
        </w:rPr>
        <w:t>obrigações‟</w:t>
      </w:r>
      <w:proofErr w:type="gramEnd"/>
      <w:r w:rsidRPr="00D6130C">
        <w:rPr>
          <w:rFonts w:ascii="Arial" w:hAnsi="Arial" w:cs="Arial"/>
          <w:sz w:val="20"/>
          <w:szCs w:val="20"/>
        </w:rPr>
        <w:t>).” (</w:t>
      </w:r>
      <w:proofErr w:type="gramStart"/>
      <w:r w:rsidRPr="00D6130C">
        <w:rPr>
          <w:rFonts w:ascii="Arial" w:hAnsi="Arial" w:cs="Arial"/>
          <w:sz w:val="20"/>
          <w:szCs w:val="20"/>
        </w:rPr>
        <w:t>grifei</w:t>
      </w:r>
      <w:proofErr w:type="gramEnd"/>
      <w:r w:rsidRPr="00D6130C">
        <w:rPr>
          <w:rFonts w:ascii="Arial" w:hAnsi="Arial" w:cs="Arial"/>
          <w:sz w:val="20"/>
          <w:szCs w:val="20"/>
        </w:rPr>
        <w:t xml:space="preserve">). Prosseguindo, faz ressalva “da pertinência e relevância das circunstâncias concretas”, como o caso presente, apontando a necessidade de se ter em vista “a impossibilidade de avaliar, de modo abstrato e em condições hipotéticas, a validade de qualquer cláusula discriminatória adotada em uma licitação. É imperioso examinar o objeto concreto da licitação e identificar suas características. Em face de tais circunstâncias da vida real, tornar-se-á possível identificar se a discriminação é pertinente e relevante para selecionar a proposta mais vantajosa. Ou seja, o próprio § 1º, inc. I, do art. 3º admite, de modo implícito, a adoção de cláusula discriminatória, desde que tenha pertinência e relevância para a seleção da proposta mais vantajosa.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 xml:space="preserve">A parte final do dispositivo examinado deve ser interpretada como consagrando o princípio da proporcionalidade. Isso significa que será inválida a cláusula discriminatória quando não tiver pertinência ou relevância. Mais ainda, também ser inválida quando deixar de consagrar a menor restrição possível. (...) Somente será admitida a mínima discriminação necessária para assegurar a obtenção da contratação mais vantajosa. (...).”, obra citada, p. 81.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>Especificamente quanto à “questão da localização geográfica do estabelecimento do contratado”, enfatiza que “o raciocínio acima se aplica inclusive nas hipóteses em que a Administração Pública está legitimada a exigir que o particular execute a prestação em determinado local, sendo impensável para tanto a existência de um estabelecimento geográfico em determinada região. Assim se passa naqueles casos de contratos de execução continuada, que versem sobre o fornecimento de bens ou serviços destinados à satisfação de necessidades administrativas renovadas continuamente. Em alguns casos, é cabível a solução de impor ao particular o dever de executar a prestação em local específico e determinado. (...) O exemplo clássico é o do fornecimento de combustível. O contrato pode estabelecer que o particular manterá um posto de fornecimento de combustível, ao qual se dirigirão as viaturas da Administração (...) a distância geográfica até o posto representa um fator relevante por duas razões, eis que o deslocamento do combustível importa consumo de combustível e de tempo. (...) a questão geográfica apresenta relevância sobre o conteúdo da prestação a ser executada, o que exige indispensável consideração.” (</w:t>
      </w:r>
      <w:proofErr w:type="gramStart"/>
      <w:r w:rsidRPr="00D6130C">
        <w:rPr>
          <w:rFonts w:ascii="Arial" w:hAnsi="Arial" w:cs="Arial"/>
          <w:sz w:val="20"/>
          <w:szCs w:val="20"/>
        </w:rPr>
        <w:t>grifei</w:t>
      </w:r>
      <w:proofErr w:type="gramEnd"/>
      <w:r w:rsidRPr="00D6130C">
        <w:rPr>
          <w:rFonts w:ascii="Arial" w:hAnsi="Arial" w:cs="Arial"/>
          <w:sz w:val="20"/>
          <w:szCs w:val="20"/>
        </w:rPr>
        <w:t xml:space="preserve">), obra citada, p. 82.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>Tais lições aplicam-se com perfeição ao caso concreto, apresentando a questão geográfica relevância sobre o conteúdo da prestação a ser executada, mecânica e manutenção de máquinas pesadas, prestação continuada, atendendo a exigência da localização geográfica ao primado da proporcionalidade. Aceitar a argumentação da ora apelada, no sentido de não impor limite de distância aos licitantes, obrigaria o contratante a aceitar, por exemplo, prestadores sediados em Passo Fundo, 296 km de Dois Irmãos; Uruguaiana, 681 km; e Itaqui, 703 km (fonte: http://maps.google.com.br</w:t>
      </w:r>
      <w:proofErr w:type="gramStart"/>
      <w:r w:rsidRPr="00D6130C">
        <w:rPr>
          <w:rFonts w:ascii="Arial" w:hAnsi="Arial" w:cs="Arial"/>
          <w:sz w:val="20"/>
          <w:szCs w:val="20"/>
        </w:rPr>
        <w:t>).,</w:t>
      </w:r>
      <w:proofErr w:type="gramEnd"/>
      <w:r w:rsidRPr="00D6130C">
        <w:rPr>
          <w:rFonts w:ascii="Arial" w:hAnsi="Arial" w:cs="Arial"/>
          <w:sz w:val="20"/>
          <w:szCs w:val="20"/>
        </w:rPr>
        <w:t xml:space="preserve"> o que não seria razoável e proporcional, mostrando-se descabida a prestação na forma sugerida, completamente dissociada dos termos constantes no edital, observada sua finalidade.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 xml:space="preserve">Como se vê, a exigência da municipalidade, repito, mostra-se razoável, tendo por objeto a devida e rápida prestação do serviço, não se podendo impor aos Munícipes, </w:t>
      </w:r>
      <w:r w:rsidRPr="00D6130C">
        <w:rPr>
          <w:rFonts w:ascii="Arial" w:hAnsi="Arial" w:cs="Arial"/>
          <w:sz w:val="20"/>
          <w:szCs w:val="20"/>
        </w:rPr>
        <w:lastRenderedPageBreak/>
        <w:t xml:space="preserve">diante de avaria em maquinário do ente público, a necessidade de aguardar o deslocamento da prestadora, desde Porto Alegre, dependendo de trânsito que, na região, como é cediço, em regra não flui rapidamente. </w:t>
      </w:r>
    </w:p>
    <w:p w:rsidR="008E0D2F" w:rsidRPr="00D6130C" w:rsidRDefault="008E0D2F" w:rsidP="008E0D2F">
      <w:pPr>
        <w:spacing w:after="0" w:line="240" w:lineRule="auto"/>
        <w:ind w:left="2268"/>
        <w:jc w:val="both"/>
        <w:rPr>
          <w:rFonts w:ascii="Arial" w:hAnsi="Arial" w:cs="Arial"/>
          <w:b/>
          <w:sz w:val="20"/>
          <w:szCs w:val="20"/>
        </w:rPr>
      </w:pPr>
      <w:r w:rsidRPr="00D6130C">
        <w:rPr>
          <w:rFonts w:ascii="Arial" w:hAnsi="Arial" w:cs="Arial"/>
          <w:sz w:val="20"/>
          <w:szCs w:val="20"/>
        </w:rPr>
        <w:t xml:space="preserve">Cumpre preservar o melhor atendimento do contrato, com a devida celeridade, não atendendo a impetrante às regras e parâmetros definidos pelo ente público contratante. Em consequência, não é ilegal a exigência, havendo nítida preocupação com a execução mais célere e eficiente da prestação, ausente a apontada ofensa ao art. 3º, § 1º, I, da Lei nº 8.666 /93, não se tratando de circunstância impertinente ou irrelevante para o específico objeto do contrato Desta forma, ausentes ilegalidades na previsão </w:t>
      </w:r>
      <w:proofErr w:type="spellStart"/>
      <w:r w:rsidRPr="00D6130C">
        <w:rPr>
          <w:rFonts w:ascii="Arial" w:hAnsi="Arial" w:cs="Arial"/>
          <w:sz w:val="20"/>
          <w:szCs w:val="20"/>
        </w:rPr>
        <w:t>editalícia</w:t>
      </w:r>
      <w:proofErr w:type="spellEnd"/>
      <w:r w:rsidRPr="00D6130C">
        <w:rPr>
          <w:rFonts w:ascii="Arial" w:hAnsi="Arial" w:cs="Arial"/>
          <w:sz w:val="20"/>
          <w:szCs w:val="20"/>
        </w:rPr>
        <w:t xml:space="preserve">. (Apelação Cível Nº 70053983243, Vigésima Segunda Câmara Cível, Tribunal de Justiça do RS, Relator: Carlos Eduardo </w:t>
      </w:r>
      <w:proofErr w:type="spellStart"/>
      <w:r w:rsidRPr="00D6130C">
        <w:rPr>
          <w:rFonts w:ascii="Arial" w:hAnsi="Arial" w:cs="Arial"/>
          <w:sz w:val="20"/>
          <w:szCs w:val="20"/>
        </w:rPr>
        <w:t>Zietlow</w:t>
      </w:r>
      <w:proofErr w:type="spellEnd"/>
      <w:r w:rsidRPr="00D6130C">
        <w:rPr>
          <w:rFonts w:ascii="Arial" w:hAnsi="Arial" w:cs="Arial"/>
          <w:sz w:val="20"/>
          <w:szCs w:val="20"/>
        </w:rPr>
        <w:t xml:space="preserve"> Duro, Julgado em 15/04/2013). (g. n.).</w:t>
      </w:r>
    </w:p>
    <w:p w:rsidR="00E81A3C" w:rsidRDefault="00E81A3C" w:rsidP="002B2D1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17ECF" w:rsidRPr="000B4140" w:rsidRDefault="008E0D2F" w:rsidP="00217ECF">
      <w:pPr>
        <w:spacing w:after="0" w:line="360" w:lineRule="auto"/>
        <w:ind w:firstLine="1418"/>
        <w:jc w:val="both"/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</w:pPr>
      <w:r w:rsidRPr="000B4140">
        <w:rPr>
          <w:rFonts w:ascii="Arial" w:hAnsi="Arial" w:cs="Arial"/>
        </w:rPr>
        <w:t>Assim, mostra</w:t>
      </w:r>
      <w:r w:rsidR="00217ECF" w:rsidRPr="000B4140">
        <w:rPr>
          <w:rFonts w:ascii="Arial" w:hAnsi="Arial" w:cs="Arial"/>
        </w:rPr>
        <w:t>-se justificada a especificidade do certame,</w:t>
      </w:r>
      <w:r w:rsidR="00217ECF" w:rsidRPr="000B414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217ECF" w:rsidRPr="000B4140">
        <w:rPr>
          <w:rStyle w:val="Fort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com base no princípio </w:t>
      </w:r>
      <w:r w:rsidR="00217ECF" w:rsidRPr="000B4140">
        <w:rPr>
          <w:rFonts w:ascii="Arial" w:hAnsi="Arial" w:cs="Arial"/>
        </w:rPr>
        <w:t>constitucional da isonomia,</w:t>
      </w:r>
      <w:r w:rsidR="00217ECF" w:rsidRPr="000B4140">
        <w:rPr>
          <w:rFonts w:ascii="Arial" w:hAnsi="Arial" w:cs="Arial"/>
        </w:rPr>
        <w:t xml:space="preserve"> selecionando </w:t>
      </w:r>
      <w:r w:rsidR="00217ECF" w:rsidRPr="000B4140">
        <w:rPr>
          <w:rFonts w:ascii="Arial" w:hAnsi="Arial" w:cs="Arial"/>
        </w:rPr>
        <w:t xml:space="preserve">a proposta mais vantajosa para a administração </w:t>
      </w:r>
      <w:r w:rsidR="00217ECF" w:rsidRPr="000B4140">
        <w:rPr>
          <w:rFonts w:ascii="Arial" w:hAnsi="Arial" w:cs="Arial"/>
        </w:rPr>
        <w:t>que</w:t>
      </w:r>
      <w:r w:rsidR="00217ECF" w:rsidRPr="000B4140">
        <w:rPr>
          <w:rFonts w:ascii="Arial" w:hAnsi="Arial" w:cs="Arial"/>
        </w:rPr>
        <w:t xml:space="preserve">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</w:t>
      </w:r>
      <w:r w:rsidR="00217ECF" w:rsidRPr="000B4140">
        <w:rPr>
          <w:rFonts w:ascii="Arial" w:hAnsi="Arial" w:cs="Arial"/>
        </w:rPr>
        <w:t>.</w:t>
      </w:r>
    </w:p>
    <w:p w:rsidR="00322C46" w:rsidRPr="000B4140" w:rsidRDefault="00322C46" w:rsidP="004C348E">
      <w:pPr>
        <w:spacing w:after="0" w:line="360" w:lineRule="auto"/>
        <w:ind w:firstLine="1418"/>
        <w:jc w:val="both"/>
        <w:rPr>
          <w:rFonts w:ascii="Arial" w:hAnsi="Arial" w:cs="Arial"/>
          <w:b/>
        </w:rPr>
      </w:pPr>
      <w:r w:rsidRPr="000B4140">
        <w:rPr>
          <w:rFonts w:ascii="Arial" w:hAnsi="Arial" w:cs="Arial"/>
          <w:b/>
        </w:rPr>
        <w:t>III - CONCLUSÃO:</w:t>
      </w:r>
    </w:p>
    <w:p w:rsidR="00045C50" w:rsidRPr="000B4140" w:rsidRDefault="00322C46" w:rsidP="00045C50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 xml:space="preserve">Em face o exposto, estando presentes os requisitos legais recebemos o presente Recurso Administrativo e no mérito opinamos pelo </w:t>
      </w:r>
      <w:r w:rsidR="00D06B50" w:rsidRPr="000B4140">
        <w:rPr>
          <w:rFonts w:ascii="Arial" w:hAnsi="Arial" w:cs="Arial"/>
        </w:rPr>
        <w:t>indeferimento</w:t>
      </w:r>
      <w:r w:rsidR="008422ED" w:rsidRPr="000B4140">
        <w:rPr>
          <w:rFonts w:ascii="Arial" w:hAnsi="Arial" w:cs="Arial"/>
        </w:rPr>
        <w:t>.</w:t>
      </w:r>
    </w:p>
    <w:p w:rsidR="00045C50" w:rsidRPr="000B4140" w:rsidRDefault="00045C50" w:rsidP="00045C50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0B4140">
        <w:rPr>
          <w:rFonts w:ascii="Arial" w:hAnsi="Arial" w:cs="Arial"/>
        </w:rPr>
        <w:t xml:space="preserve">Ponte Serrada, </w:t>
      </w:r>
      <w:r w:rsidRPr="000B4140">
        <w:rPr>
          <w:rFonts w:ascii="Arial" w:hAnsi="Arial" w:cs="Arial"/>
        </w:rPr>
        <w:t>1° de abril</w:t>
      </w:r>
      <w:r w:rsidRPr="000B4140">
        <w:rPr>
          <w:rFonts w:ascii="Arial" w:hAnsi="Arial" w:cs="Arial"/>
        </w:rPr>
        <w:t xml:space="preserve"> de 2021.</w:t>
      </w:r>
    </w:p>
    <w:p w:rsidR="00045C50" w:rsidRPr="000B4140" w:rsidRDefault="00045C50" w:rsidP="00045C50">
      <w:pPr>
        <w:spacing w:after="0" w:line="360" w:lineRule="auto"/>
        <w:ind w:firstLine="1701"/>
        <w:rPr>
          <w:rFonts w:ascii="Arial" w:hAnsi="Arial" w:cs="Arial"/>
        </w:rPr>
      </w:pPr>
    </w:p>
    <w:p w:rsidR="00045C50" w:rsidRPr="000B4140" w:rsidRDefault="00045C50" w:rsidP="00045C50">
      <w:pPr>
        <w:pStyle w:val="SemEspaamento"/>
        <w:jc w:val="center"/>
        <w:rPr>
          <w:rFonts w:ascii="Arial" w:hAnsi="Arial" w:cs="Arial"/>
        </w:rPr>
      </w:pPr>
      <w:proofErr w:type="spellStart"/>
      <w:r w:rsidRPr="000B4140">
        <w:rPr>
          <w:rFonts w:ascii="Arial" w:hAnsi="Arial" w:cs="Arial"/>
        </w:rPr>
        <w:t>Andre</w:t>
      </w:r>
      <w:proofErr w:type="spellEnd"/>
      <w:r w:rsidRPr="000B4140">
        <w:rPr>
          <w:rFonts w:ascii="Arial" w:hAnsi="Arial" w:cs="Arial"/>
        </w:rPr>
        <w:t xml:space="preserve"> Luiz </w:t>
      </w:r>
      <w:proofErr w:type="spellStart"/>
      <w:r w:rsidRPr="000B4140">
        <w:rPr>
          <w:rFonts w:ascii="Arial" w:hAnsi="Arial" w:cs="Arial"/>
        </w:rPr>
        <w:t>Panizzi</w:t>
      </w:r>
      <w:proofErr w:type="spellEnd"/>
    </w:p>
    <w:p w:rsidR="00045C50" w:rsidRPr="000B4140" w:rsidRDefault="00045C50" w:rsidP="00045C50">
      <w:pPr>
        <w:pStyle w:val="SemEspaamento"/>
        <w:jc w:val="center"/>
        <w:rPr>
          <w:rFonts w:ascii="Arial" w:hAnsi="Arial" w:cs="Arial"/>
          <w:b/>
        </w:rPr>
      </w:pPr>
      <w:r w:rsidRPr="000B4140">
        <w:rPr>
          <w:rFonts w:ascii="Arial" w:hAnsi="Arial" w:cs="Arial"/>
          <w:b/>
        </w:rPr>
        <w:t>OAB/SC 23.051</w:t>
      </w:r>
    </w:p>
    <w:p w:rsidR="008422ED" w:rsidRPr="000B4140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8422ED" w:rsidRPr="000B4140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:rsidR="008422ED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422ED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422ED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422ED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422ED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422ED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422ED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422ED" w:rsidRDefault="008422ED" w:rsidP="00D06B50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22C46" w:rsidRPr="00914082" w:rsidRDefault="00322C46" w:rsidP="000100F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322C46" w:rsidRPr="00914082" w:rsidSect="007C2425">
      <w:headerReference w:type="default" r:id="rId8"/>
      <w:footerReference w:type="default" r:id="rId9"/>
      <w:pgSz w:w="11906" w:h="16838" w:code="9"/>
      <w:pgMar w:top="1440" w:right="90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EA" w:rsidRDefault="007F66EA" w:rsidP="00E323AF">
      <w:pPr>
        <w:spacing w:after="0" w:line="240" w:lineRule="auto"/>
      </w:pPr>
      <w:r>
        <w:separator/>
      </w:r>
    </w:p>
  </w:endnote>
  <w:endnote w:type="continuationSeparator" w:id="0">
    <w:p w:rsidR="007F66EA" w:rsidRDefault="007F66EA" w:rsidP="00E3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6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2A" w:rsidRDefault="008304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0728A">
      <w:rPr>
        <w:noProof/>
      </w:rPr>
      <w:t>3</w:t>
    </w:r>
    <w:r>
      <w:rPr>
        <w:noProof/>
      </w:rPr>
      <w:fldChar w:fldCharType="end"/>
    </w:r>
  </w:p>
  <w:p w:rsidR="0083042A" w:rsidRDefault="008304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EA" w:rsidRDefault="007F66EA" w:rsidP="00E323AF">
      <w:pPr>
        <w:spacing w:after="0" w:line="240" w:lineRule="auto"/>
      </w:pPr>
      <w:r>
        <w:separator/>
      </w:r>
    </w:p>
  </w:footnote>
  <w:footnote w:type="continuationSeparator" w:id="0">
    <w:p w:rsidR="007F66EA" w:rsidRDefault="007F66EA" w:rsidP="00E3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2A" w:rsidRDefault="0083042A" w:rsidP="00E323AF">
    <w:pPr>
      <w:pStyle w:val="Cabealho"/>
      <w:ind w:left="-284" w:right="-260"/>
      <w:jc w:val="center"/>
      <w:rPr>
        <w:rFonts w:ascii="Arial" w:hAnsi="Arial" w:cs="Arial"/>
        <w:b/>
        <w:noProof/>
        <w:sz w:val="36"/>
        <w:szCs w:val="36"/>
        <w:lang w:eastAsia="pt-BR"/>
      </w:rPr>
    </w:pPr>
    <w:r>
      <w:rPr>
        <w:noProof/>
        <w:lang w:eastAsia="pt-BR"/>
      </w:rPr>
      <w:drawing>
        <wp:inline distT="0" distB="0" distL="0" distR="0" wp14:anchorId="161E0963" wp14:editId="195AEB71">
          <wp:extent cx="495300" cy="514350"/>
          <wp:effectExtent l="19050" t="0" r="0" b="0"/>
          <wp:docPr id="1" name="Imagem 2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042A" w:rsidRPr="007C2425" w:rsidRDefault="0083042A" w:rsidP="007C2425">
    <w:pPr>
      <w:pStyle w:val="Cabealho"/>
      <w:ind w:right="-260"/>
      <w:jc w:val="center"/>
      <w:rPr>
        <w:rFonts w:ascii="News706 BT" w:hAnsi="News706 BT" w:cs="Arial"/>
        <w:b/>
        <w:noProof/>
        <w:sz w:val="28"/>
        <w:szCs w:val="32"/>
        <w:lang w:eastAsia="pt-BR"/>
      </w:rPr>
    </w:pPr>
    <w:r>
      <w:rPr>
        <w:rFonts w:ascii="News706 BT" w:hAnsi="News706 BT" w:cs="Arial"/>
        <w:b/>
        <w:noProof/>
        <w:sz w:val="28"/>
        <w:szCs w:val="32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704AC" wp14:editId="384B2449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274320" cy="424180"/>
              <wp:effectExtent l="11430" t="8890" r="762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042A" w:rsidRDefault="0083042A" w:rsidP="00E323AF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704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-3.8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" strokecolor="white">
              <v:textbox style="mso-fit-shape-to-text:t">
                <w:txbxContent>
                  <w:p w:rsidR="0083042A" w:rsidRDefault="0083042A" w:rsidP="00E323AF"/>
                </w:txbxContent>
              </v:textbox>
            </v:shape>
          </w:pict>
        </mc:Fallback>
      </mc:AlternateContent>
    </w:r>
    <w:r w:rsidRPr="007C2425">
      <w:rPr>
        <w:rFonts w:ascii="News706 BT" w:hAnsi="News706 BT" w:cs="Arial"/>
        <w:b/>
        <w:noProof/>
        <w:sz w:val="28"/>
        <w:szCs w:val="32"/>
        <w:lang w:eastAsia="pt-BR"/>
      </w:rPr>
      <w:t>ESTADO DE SANTA CATARINA</w:t>
    </w:r>
  </w:p>
  <w:p w:rsidR="0083042A" w:rsidRPr="007C2425" w:rsidRDefault="0083042A" w:rsidP="007C2425">
    <w:pPr>
      <w:pStyle w:val="Cabealho"/>
      <w:ind w:right="-260"/>
      <w:jc w:val="center"/>
      <w:rPr>
        <w:rFonts w:ascii="News706 BT" w:hAnsi="News706 BT" w:cs="Arial"/>
        <w:b/>
        <w:noProof/>
        <w:sz w:val="32"/>
        <w:szCs w:val="32"/>
        <w:lang w:eastAsia="pt-BR"/>
      </w:rPr>
    </w:pPr>
    <w:r w:rsidRPr="007C2425">
      <w:rPr>
        <w:rFonts w:ascii="News706 BT" w:hAnsi="News706 BT" w:cs="Arial"/>
        <w:b/>
        <w:noProof/>
        <w:sz w:val="32"/>
        <w:szCs w:val="32"/>
        <w:lang w:eastAsia="pt-BR"/>
      </w:rPr>
      <w:t>MUNICÍPIO DE PONTE SERRADA</w:t>
    </w:r>
  </w:p>
  <w:p w:rsidR="0083042A" w:rsidRPr="007C2425" w:rsidRDefault="0083042A" w:rsidP="007C2425">
    <w:pPr>
      <w:pStyle w:val="Cabealho"/>
      <w:ind w:right="-260"/>
      <w:jc w:val="center"/>
      <w:rPr>
        <w:rFonts w:ascii="News706 BT" w:hAnsi="News706 BT" w:cs="Arial"/>
        <w:b/>
        <w:noProof/>
        <w:szCs w:val="24"/>
        <w:lang w:eastAsia="pt-BR"/>
      </w:rPr>
    </w:pPr>
    <w:r>
      <w:rPr>
        <w:rFonts w:ascii="News706 BT" w:hAnsi="News706 BT" w:cs="Arial"/>
        <w:b/>
        <w:noProof/>
        <w:szCs w:val="24"/>
        <w:lang w:eastAsia="pt-BR"/>
      </w:rPr>
      <w:t>SECRETARIA DE ADMINISTRAÇÃO E FAZENDA</w:t>
    </w:r>
  </w:p>
  <w:p w:rsidR="0083042A" w:rsidRDefault="0083042A" w:rsidP="007C2425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  <w:r w:rsidRPr="007C2425">
      <w:rPr>
        <w:rFonts w:ascii="News706 BT" w:hAnsi="News706 BT" w:cs="Arial"/>
        <w:noProof/>
        <w:sz w:val="14"/>
        <w:szCs w:val="24"/>
        <w:lang w:eastAsia="pt-BR"/>
      </w:rPr>
      <w:t>Rua Madre Maria Theodora, 264 – Centro – CEP 89.683-000</w:t>
    </w:r>
  </w:p>
  <w:p w:rsidR="0083042A" w:rsidRDefault="0083042A" w:rsidP="007C2425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</w:p>
  <w:p w:rsidR="0083042A" w:rsidRPr="007C2425" w:rsidRDefault="0083042A" w:rsidP="007C2425">
    <w:pPr>
      <w:pStyle w:val="Cabealho"/>
      <w:ind w:right="-260"/>
      <w:jc w:val="center"/>
      <w:rPr>
        <w:rFonts w:ascii="News706 BT" w:hAnsi="News706 BT" w:cs="Arial"/>
        <w:noProof/>
        <w:sz w:val="14"/>
        <w:szCs w:val="24"/>
        <w:lang w:eastAsia="pt-BR"/>
      </w:rPr>
    </w:pPr>
  </w:p>
  <w:p w:rsidR="0083042A" w:rsidRDefault="0083042A" w:rsidP="00E323AF">
    <w:pPr>
      <w:pStyle w:val="Cabealho"/>
      <w:ind w:left="1276"/>
      <w:rPr>
        <w:noProof/>
        <w:sz w:val="16"/>
        <w:szCs w:val="16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D6E"/>
    <w:multiLevelType w:val="singleLevel"/>
    <w:tmpl w:val="29F64ECC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/>
      </w:rPr>
    </w:lvl>
  </w:abstractNum>
  <w:abstractNum w:abstractNumId="1">
    <w:nsid w:val="0DBE525B"/>
    <w:multiLevelType w:val="multilevel"/>
    <w:tmpl w:val="835CE5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8E65876"/>
    <w:multiLevelType w:val="multilevel"/>
    <w:tmpl w:val="F090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C605D"/>
    <w:multiLevelType w:val="multilevel"/>
    <w:tmpl w:val="348897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5CB6782C"/>
    <w:multiLevelType w:val="hybridMultilevel"/>
    <w:tmpl w:val="005882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D13156"/>
    <w:multiLevelType w:val="hybridMultilevel"/>
    <w:tmpl w:val="541403DA"/>
    <w:lvl w:ilvl="0" w:tplc="F0E8B0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54B49"/>
    <w:multiLevelType w:val="multilevel"/>
    <w:tmpl w:val="084A7D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AF"/>
    <w:rsid w:val="00003604"/>
    <w:rsid w:val="000100FA"/>
    <w:rsid w:val="00032271"/>
    <w:rsid w:val="00042C3D"/>
    <w:rsid w:val="000453A8"/>
    <w:rsid w:val="00045C50"/>
    <w:rsid w:val="00064057"/>
    <w:rsid w:val="00071B09"/>
    <w:rsid w:val="000825B0"/>
    <w:rsid w:val="000B4140"/>
    <w:rsid w:val="000D0831"/>
    <w:rsid w:val="00102C96"/>
    <w:rsid w:val="001103F1"/>
    <w:rsid w:val="00130CDE"/>
    <w:rsid w:val="001373A1"/>
    <w:rsid w:val="00142B98"/>
    <w:rsid w:val="00171E66"/>
    <w:rsid w:val="001920BB"/>
    <w:rsid w:val="001A4FE2"/>
    <w:rsid w:val="001C31B8"/>
    <w:rsid w:val="001E5725"/>
    <w:rsid w:val="001F0560"/>
    <w:rsid w:val="00200980"/>
    <w:rsid w:val="00217ECF"/>
    <w:rsid w:val="00231B6D"/>
    <w:rsid w:val="00243F13"/>
    <w:rsid w:val="002478E5"/>
    <w:rsid w:val="00252A03"/>
    <w:rsid w:val="00253160"/>
    <w:rsid w:val="0025467C"/>
    <w:rsid w:val="002B2D1A"/>
    <w:rsid w:val="00300DB7"/>
    <w:rsid w:val="00304AEC"/>
    <w:rsid w:val="0031176F"/>
    <w:rsid w:val="0031757A"/>
    <w:rsid w:val="00322C46"/>
    <w:rsid w:val="0034232C"/>
    <w:rsid w:val="0034534F"/>
    <w:rsid w:val="003540B8"/>
    <w:rsid w:val="00356A80"/>
    <w:rsid w:val="003710DE"/>
    <w:rsid w:val="00375019"/>
    <w:rsid w:val="00375338"/>
    <w:rsid w:val="003E2944"/>
    <w:rsid w:val="003E71C5"/>
    <w:rsid w:val="004209D9"/>
    <w:rsid w:val="00425C24"/>
    <w:rsid w:val="00431659"/>
    <w:rsid w:val="00486C90"/>
    <w:rsid w:val="00492725"/>
    <w:rsid w:val="004C348E"/>
    <w:rsid w:val="004D2604"/>
    <w:rsid w:val="00526C2D"/>
    <w:rsid w:val="00530F11"/>
    <w:rsid w:val="005623E5"/>
    <w:rsid w:val="00582BE8"/>
    <w:rsid w:val="005B40C8"/>
    <w:rsid w:val="005D1CF9"/>
    <w:rsid w:val="00615C0F"/>
    <w:rsid w:val="006228D1"/>
    <w:rsid w:val="00632A15"/>
    <w:rsid w:val="0063749E"/>
    <w:rsid w:val="006C5AF0"/>
    <w:rsid w:val="006E2021"/>
    <w:rsid w:val="006F42B3"/>
    <w:rsid w:val="00703454"/>
    <w:rsid w:val="00720DE6"/>
    <w:rsid w:val="00756779"/>
    <w:rsid w:val="007675D3"/>
    <w:rsid w:val="00767BD3"/>
    <w:rsid w:val="0078543B"/>
    <w:rsid w:val="007917D1"/>
    <w:rsid w:val="007C2425"/>
    <w:rsid w:val="007D0AED"/>
    <w:rsid w:val="007D6133"/>
    <w:rsid w:val="007F640A"/>
    <w:rsid w:val="007F66EA"/>
    <w:rsid w:val="00820181"/>
    <w:rsid w:val="0083042A"/>
    <w:rsid w:val="008422ED"/>
    <w:rsid w:val="00862197"/>
    <w:rsid w:val="00871F8F"/>
    <w:rsid w:val="00880448"/>
    <w:rsid w:val="00896481"/>
    <w:rsid w:val="008A6E49"/>
    <w:rsid w:val="008D2028"/>
    <w:rsid w:val="008E0D2F"/>
    <w:rsid w:val="00912744"/>
    <w:rsid w:val="00914082"/>
    <w:rsid w:val="00937BB5"/>
    <w:rsid w:val="009441EF"/>
    <w:rsid w:val="00980ADC"/>
    <w:rsid w:val="009A547C"/>
    <w:rsid w:val="009B620C"/>
    <w:rsid w:val="009B71DF"/>
    <w:rsid w:val="009D043B"/>
    <w:rsid w:val="009E26CD"/>
    <w:rsid w:val="009F0BB7"/>
    <w:rsid w:val="009F5A11"/>
    <w:rsid w:val="00A066F1"/>
    <w:rsid w:val="00A1415C"/>
    <w:rsid w:val="00A566A9"/>
    <w:rsid w:val="00A70AAC"/>
    <w:rsid w:val="00A9266C"/>
    <w:rsid w:val="00A97127"/>
    <w:rsid w:val="00AA7C39"/>
    <w:rsid w:val="00AE4B2A"/>
    <w:rsid w:val="00AF64F4"/>
    <w:rsid w:val="00B015E9"/>
    <w:rsid w:val="00B0728A"/>
    <w:rsid w:val="00B149C2"/>
    <w:rsid w:val="00B255D6"/>
    <w:rsid w:val="00B95CBC"/>
    <w:rsid w:val="00BA1802"/>
    <w:rsid w:val="00BA2840"/>
    <w:rsid w:val="00BA735B"/>
    <w:rsid w:val="00C02E04"/>
    <w:rsid w:val="00C1467D"/>
    <w:rsid w:val="00C23959"/>
    <w:rsid w:val="00C30C88"/>
    <w:rsid w:val="00C42A76"/>
    <w:rsid w:val="00C56F8E"/>
    <w:rsid w:val="00C60855"/>
    <w:rsid w:val="00C967F9"/>
    <w:rsid w:val="00CB2E4D"/>
    <w:rsid w:val="00CC77C7"/>
    <w:rsid w:val="00CD0E70"/>
    <w:rsid w:val="00CF1091"/>
    <w:rsid w:val="00CF2B83"/>
    <w:rsid w:val="00CF6817"/>
    <w:rsid w:val="00D06B0E"/>
    <w:rsid w:val="00D06B50"/>
    <w:rsid w:val="00D26999"/>
    <w:rsid w:val="00D3364B"/>
    <w:rsid w:val="00D9457F"/>
    <w:rsid w:val="00DA6105"/>
    <w:rsid w:val="00DB13BA"/>
    <w:rsid w:val="00DE0BA5"/>
    <w:rsid w:val="00E323AF"/>
    <w:rsid w:val="00E32A05"/>
    <w:rsid w:val="00E51F01"/>
    <w:rsid w:val="00E55426"/>
    <w:rsid w:val="00E60818"/>
    <w:rsid w:val="00E6164B"/>
    <w:rsid w:val="00E6258C"/>
    <w:rsid w:val="00E65900"/>
    <w:rsid w:val="00E674CE"/>
    <w:rsid w:val="00E80333"/>
    <w:rsid w:val="00E81A3C"/>
    <w:rsid w:val="00E878A9"/>
    <w:rsid w:val="00EA2367"/>
    <w:rsid w:val="00EA616D"/>
    <w:rsid w:val="00EC6990"/>
    <w:rsid w:val="00EE40AF"/>
    <w:rsid w:val="00F06784"/>
    <w:rsid w:val="00F234DC"/>
    <w:rsid w:val="00F32E47"/>
    <w:rsid w:val="00F53DCF"/>
    <w:rsid w:val="00F6094D"/>
    <w:rsid w:val="00F724F1"/>
    <w:rsid w:val="00F7668F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2A27A-80D9-4BA7-B50B-5315CAE0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7A"/>
    <w:pPr>
      <w:spacing w:after="200"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7F640A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F64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40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A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23AF"/>
  </w:style>
  <w:style w:type="paragraph" w:styleId="Rodap">
    <w:name w:val="footer"/>
    <w:basedOn w:val="Normal"/>
    <w:link w:val="RodapChar"/>
    <w:uiPriority w:val="99"/>
    <w:unhideWhenUsed/>
    <w:rsid w:val="00E32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23AF"/>
  </w:style>
  <w:style w:type="paragraph" w:styleId="Textodebalo">
    <w:name w:val="Balloon Text"/>
    <w:basedOn w:val="Normal"/>
    <w:link w:val="TextodebaloChar"/>
    <w:uiPriority w:val="99"/>
    <w:semiHidden/>
    <w:unhideWhenUsed/>
    <w:rsid w:val="00E3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3A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323AF"/>
    <w:rPr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7F640A"/>
    <w:rPr>
      <w:rFonts w:ascii="Times New Roman" w:eastAsia="Times New Roman" w:hAnsi="Times New Roman"/>
      <w:sz w:val="32"/>
    </w:rPr>
  </w:style>
  <w:style w:type="character" w:customStyle="1" w:styleId="Ttulo7Char">
    <w:name w:val="Título 7 Char"/>
    <w:basedOn w:val="Fontepargpadro"/>
    <w:link w:val="Ttulo7"/>
    <w:rsid w:val="007F640A"/>
    <w:rPr>
      <w:rFonts w:ascii="Times New Roman" w:eastAsia="Times New Roman" w:hAnsi="Times New Roman"/>
      <w:sz w:val="40"/>
      <w:szCs w:val="24"/>
    </w:rPr>
  </w:style>
  <w:style w:type="paragraph" w:styleId="PargrafodaLista">
    <w:name w:val="List Paragraph"/>
    <w:basedOn w:val="Normal"/>
    <w:uiPriority w:val="34"/>
    <w:qFormat/>
    <w:rsid w:val="00071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9266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9266C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F6094D"/>
    <w:rPr>
      <w:i/>
      <w:iCs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A8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Forte">
    <w:name w:val="Strong"/>
    <w:basedOn w:val="Fontepargpadro"/>
    <w:uiPriority w:val="22"/>
    <w:qFormat/>
    <w:rsid w:val="00253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8078-ACCC-471D-B573-0840F5C9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2217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25</cp:revision>
  <cp:lastPrinted>2021-04-01T13:35:00Z</cp:lastPrinted>
  <dcterms:created xsi:type="dcterms:W3CDTF">2021-04-01T12:20:00Z</dcterms:created>
  <dcterms:modified xsi:type="dcterms:W3CDTF">2021-04-01T13:46:00Z</dcterms:modified>
</cp:coreProperties>
</file>