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E2" w:rsidRDefault="003A70E2" w:rsidP="00C127F0">
      <w:pPr>
        <w:autoSpaceDE w:val="0"/>
        <w:autoSpaceDN w:val="0"/>
        <w:adjustRightInd w:val="0"/>
        <w:spacing w:after="0" w:line="240" w:lineRule="auto"/>
        <w:rPr>
          <w:rFonts w:ascii="Arial" w:eastAsia="Times New Roman" w:hAnsi="Arial" w:cs="Arial"/>
          <w:b/>
          <w:bCs/>
          <w:sz w:val="24"/>
          <w:szCs w:val="24"/>
          <w:u w:val="single"/>
        </w:rPr>
      </w:pPr>
    </w:p>
    <w:p w:rsidR="00C127F0" w:rsidRPr="003A70E2" w:rsidRDefault="00C127F0" w:rsidP="00C127F0">
      <w:pPr>
        <w:autoSpaceDE w:val="0"/>
        <w:autoSpaceDN w:val="0"/>
        <w:adjustRightInd w:val="0"/>
        <w:spacing w:after="0" w:line="240" w:lineRule="auto"/>
        <w:rPr>
          <w:rFonts w:ascii="Arial" w:eastAsia="Times New Roman" w:hAnsi="Arial" w:cs="Arial"/>
          <w:sz w:val="24"/>
          <w:szCs w:val="24"/>
          <w:u w:val="single"/>
        </w:rPr>
      </w:pPr>
      <w:r w:rsidRPr="003A70E2">
        <w:rPr>
          <w:rFonts w:ascii="Arial" w:eastAsia="Times New Roman" w:hAnsi="Arial" w:cs="Arial"/>
          <w:b/>
          <w:bCs/>
          <w:sz w:val="24"/>
          <w:szCs w:val="24"/>
          <w:u w:val="single"/>
        </w:rPr>
        <w:t xml:space="preserve">PROCESSO LICITATÓRIO Nº </w:t>
      </w:r>
      <w:r w:rsidR="009043F2" w:rsidRPr="003A70E2">
        <w:rPr>
          <w:rFonts w:ascii="Arial" w:eastAsia="Times New Roman" w:hAnsi="Arial" w:cs="Arial"/>
          <w:b/>
          <w:bCs/>
          <w:sz w:val="24"/>
          <w:szCs w:val="24"/>
          <w:u w:val="single"/>
        </w:rPr>
        <w:t>10/2021</w:t>
      </w:r>
    </w:p>
    <w:p w:rsidR="009D29B3" w:rsidRPr="003A70E2" w:rsidRDefault="009043F2" w:rsidP="00C127F0">
      <w:pPr>
        <w:widowControl w:val="0"/>
        <w:tabs>
          <w:tab w:val="num" w:pos="0"/>
        </w:tabs>
        <w:spacing w:after="0"/>
        <w:rPr>
          <w:rFonts w:ascii="Arial" w:eastAsia="Times New Roman" w:hAnsi="Arial" w:cs="Arial"/>
          <w:color w:val="000000"/>
          <w:sz w:val="24"/>
          <w:szCs w:val="24"/>
          <w:lang w:eastAsia="pt-BR"/>
        </w:rPr>
      </w:pPr>
      <w:r w:rsidRPr="003A70E2">
        <w:rPr>
          <w:rFonts w:ascii="Arial" w:eastAsia="Times New Roman" w:hAnsi="Arial" w:cs="Arial"/>
          <w:b/>
          <w:bCs/>
          <w:sz w:val="24"/>
          <w:szCs w:val="24"/>
          <w:u w:val="single"/>
        </w:rPr>
        <w:t>PREGÃO PRESENCIAL Nº 10/2021</w:t>
      </w:r>
    </w:p>
    <w:p w:rsidR="009D29B3" w:rsidRPr="003A70E2" w:rsidRDefault="009D29B3" w:rsidP="009D29B3">
      <w:pPr>
        <w:widowControl w:val="0"/>
        <w:tabs>
          <w:tab w:val="num" w:pos="0"/>
        </w:tabs>
        <w:spacing w:after="0"/>
        <w:rPr>
          <w:rFonts w:ascii="Arial" w:eastAsia="Times New Roman" w:hAnsi="Arial" w:cs="Arial"/>
          <w:color w:val="000000"/>
          <w:sz w:val="24"/>
          <w:szCs w:val="24"/>
          <w:lang w:eastAsia="pt-BR"/>
        </w:rPr>
      </w:pPr>
    </w:p>
    <w:p w:rsidR="009D29B3" w:rsidRPr="003A70E2" w:rsidRDefault="009D29B3" w:rsidP="009D29B3">
      <w:pPr>
        <w:keepNext/>
        <w:spacing w:after="0"/>
        <w:jc w:val="both"/>
        <w:outlineLvl w:val="0"/>
        <w:rPr>
          <w:rFonts w:ascii="Arial" w:eastAsia="Times New Roman" w:hAnsi="Arial" w:cs="Arial"/>
          <w:b/>
          <w:bCs/>
          <w:sz w:val="24"/>
          <w:szCs w:val="24"/>
          <w:u w:val="single"/>
          <w:lang w:eastAsia="pt-BR"/>
        </w:rPr>
      </w:pPr>
      <w:r w:rsidRPr="003A70E2">
        <w:rPr>
          <w:rFonts w:ascii="Arial" w:eastAsia="Times New Roman" w:hAnsi="Arial" w:cs="Arial"/>
          <w:b/>
          <w:color w:val="000000"/>
          <w:sz w:val="24"/>
          <w:szCs w:val="24"/>
          <w:u w:val="single"/>
          <w:lang w:eastAsia="pt-BR"/>
        </w:rPr>
        <w:t>ATA DE REGISTRO DE PREÇOS Nº</w:t>
      </w:r>
      <w:r w:rsidR="00C127F0" w:rsidRPr="003A70E2">
        <w:rPr>
          <w:rFonts w:ascii="Arial" w:eastAsia="Times New Roman" w:hAnsi="Arial" w:cs="Arial"/>
          <w:b/>
          <w:color w:val="000000"/>
          <w:sz w:val="24"/>
          <w:szCs w:val="24"/>
          <w:u w:val="single"/>
          <w:lang w:eastAsia="pt-BR"/>
        </w:rPr>
        <w:t xml:space="preserve"> </w:t>
      </w:r>
      <w:r w:rsidR="0057619B">
        <w:rPr>
          <w:rFonts w:ascii="Arial" w:eastAsia="Times New Roman" w:hAnsi="Arial" w:cs="Arial"/>
          <w:b/>
          <w:color w:val="000000"/>
          <w:sz w:val="24"/>
          <w:szCs w:val="24"/>
          <w:u w:val="single"/>
          <w:lang w:eastAsia="pt-BR"/>
        </w:rPr>
        <w:t>31</w:t>
      </w:r>
    </w:p>
    <w:p w:rsidR="009D29B3" w:rsidRPr="003A70E2" w:rsidRDefault="009D29B3" w:rsidP="009D29B3">
      <w:pPr>
        <w:autoSpaceDE w:val="0"/>
        <w:autoSpaceDN w:val="0"/>
        <w:adjustRightInd w:val="0"/>
        <w:spacing w:after="0"/>
        <w:jc w:val="center"/>
        <w:rPr>
          <w:rFonts w:ascii="Arial" w:eastAsia="Times New Roman" w:hAnsi="Arial" w:cs="Arial"/>
          <w:b/>
          <w:bCs/>
          <w:color w:val="000000"/>
          <w:sz w:val="24"/>
          <w:szCs w:val="24"/>
          <w:lang w:eastAsia="pt-BR"/>
        </w:rPr>
      </w:pPr>
    </w:p>
    <w:p w:rsidR="009043F2" w:rsidRPr="00593DA0" w:rsidRDefault="007B54B9" w:rsidP="009043F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lang w:eastAsia="pt-BR"/>
        </w:rPr>
        <w:t>Aos dezoito dias do mês de fevereiro</w:t>
      </w:r>
      <w:r w:rsidRPr="002749DF">
        <w:rPr>
          <w:rFonts w:ascii="Arial" w:eastAsia="Times New Roman" w:hAnsi="Arial" w:cs="Arial"/>
          <w:color w:val="000000"/>
          <w:lang w:eastAsia="pt-BR"/>
        </w:rPr>
        <w:t xml:space="preserve"> de dois mil e vinte e um</w:t>
      </w:r>
      <w:r w:rsidR="009043F2" w:rsidRPr="003A70E2">
        <w:rPr>
          <w:rFonts w:ascii="Arial" w:eastAsia="Times New Roman" w:hAnsi="Arial" w:cs="Arial"/>
          <w:b/>
          <w:bCs/>
          <w:color w:val="000000"/>
          <w:sz w:val="24"/>
          <w:szCs w:val="24"/>
          <w:lang w:eastAsia="pt-BR"/>
        </w:rPr>
        <w:t>,</w:t>
      </w:r>
      <w:r w:rsidR="009043F2" w:rsidRPr="003A70E2">
        <w:rPr>
          <w:rFonts w:ascii="Arial" w:eastAsia="Times New Roman" w:hAnsi="Arial" w:cs="Arial"/>
          <w:color w:val="000000"/>
          <w:sz w:val="24"/>
          <w:szCs w:val="24"/>
          <w:lang w:eastAsia="pt-BR"/>
        </w:rPr>
        <w:t xml:space="preserve"> na Prefeitura Municipal de Ponte Serrada, através da Secretaria Municipal de Assistência Social, nos termos da Lei nº 10.520, de 17 de julho de 2002, publicada no D. O. U. de 18 de julho de 2002, e os Decretos nº s 1.344, de 19 de janeiro de 2006 e  1.402, de 02 de agosto de 2006 e, das demais normas legais aplicáveis, em face da classificação das propostas apresentadas no </w:t>
      </w:r>
      <w:r w:rsidR="009043F2" w:rsidRPr="003A70E2">
        <w:rPr>
          <w:rFonts w:ascii="Arial" w:eastAsia="Times New Roman" w:hAnsi="Arial" w:cs="Arial"/>
          <w:b/>
          <w:bCs/>
          <w:sz w:val="24"/>
          <w:szCs w:val="24"/>
          <w:lang w:eastAsia="pt-BR"/>
        </w:rPr>
        <w:t>PREGÃO PRESENCIAL PARA REGISTRO DE PREÇOS Nº 10/2021,</w:t>
      </w:r>
      <w:r w:rsidR="009043F2" w:rsidRPr="003A70E2">
        <w:rPr>
          <w:rFonts w:ascii="Arial" w:eastAsia="Times New Roman" w:hAnsi="Arial" w:cs="Arial"/>
          <w:b/>
          <w:bCs/>
          <w:color w:val="000000"/>
          <w:sz w:val="24"/>
          <w:szCs w:val="24"/>
          <w:lang w:eastAsia="pt-BR"/>
        </w:rPr>
        <w:t xml:space="preserve"> </w:t>
      </w:r>
      <w:r w:rsidR="009043F2" w:rsidRPr="003A70E2">
        <w:rPr>
          <w:rFonts w:ascii="Arial" w:eastAsia="Times New Roman" w:hAnsi="Arial" w:cs="Arial"/>
          <w:color w:val="000000"/>
          <w:sz w:val="24"/>
          <w:szCs w:val="24"/>
          <w:lang w:eastAsia="pt-BR"/>
        </w:rPr>
        <w:t xml:space="preserve">do </w:t>
      </w:r>
      <w:r w:rsidR="009043F2" w:rsidRPr="003A70E2">
        <w:rPr>
          <w:rFonts w:ascii="Arial" w:eastAsia="Times New Roman" w:hAnsi="Arial" w:cs="Arial"/>
          <w:b/>
          <w:bCs/>
          <w:color w:val="000000"/>
          <w:sz w:val="24"/>
          <w:szCs w:val="24"/>
          <w:lang w:eastAsia="pt-BR"/>
        </w:rPr>
        <w:t>PROCESSO Nº 10/2021</w:t>
      </w:r>
      <w:r w:rsidR="009043F2" w:rsidRPr="003A70E2">
        <w:rPr>
          <w:rFonts w:ascii="Arial" w:eastAsia="Times New Roman" w:hAnsi="Arial" w:cs="Arial"/>
          <w:color w:val="000000"/>
          <w:sz w:val="24"/>
          <w:szCs w:val="24"/>
          <w:lang w:eastAsia="pt-BR"/>
        </w:rPr>
        <w:t xml:space="preserve">, </w:t>
      </w:r>
      <w:r w:rsidR="009043F2" w:rsidRPr="003A70E2">
        <w:rPr>
          <w:rFonts w:ascii="Arial" w:eastAsia="Times New Roman" w:hAnsi="Arial" w:cs="Arial"/>
          <w:b/>
          <w:bCs/>
          <w:color w:val="000000"/>
          <w:sz w:val="24"/>
          <w:szCs w:val="24"/>
          <w:lang w:eastAsia="pt-BR"/>
        </w:rPr>
        <w:t xml:space="preserve">RESOLVE </w:t>
      </w:r>
      <w:r w:rsidR="009043F2" w:rsidRPr="003A70E2">
        <w:rPr>
          <w:rFonts w:ascii="Arial" w:eastAsia="Times New Roman" w:hAnsi="Arial" w:cs="Arial"/>
          <w:color w:val="000000"/>
          <w:sz w:val="24"/>
          <w:szCs w:val="24"/>
          <w:lang w:eastAsia="pt-BR"/>
        </w:rPr>
        <w:t>registrar os preços auferidos no certame licitatório ante transcrito, cujo objeto</w:t>
      </w:r>
      <w:r w:rsidR="009043F2" w:rsidRPr="003A70E2">
        <w:rPr>
          <w:rFonts w:ascii="Arial" w:eastAsia="Times New Roman" w:hAnsi="Arial" w:cs="Arial"/>
          <w:sz w:val="24"/>
          <w:szCs w:val="24"/>
          <w:lang w:eastAsia="pt-BR"/>
        </w:rPr>
        <w:t xml:space="preserve"> REGISTRO DE PREÇOS COM VALIDADE DE 12 (DOZE) MESES PARA CONTRATAÇÃO DE EMPRESA ESPECIALIZADA EM TRANSPORTE ESCOLAR, SERVIÇOS DE SOCORRO E MONITORES, DESCRITOS EM ANEXO I E CRONOGRAMA CONFORME SOLICITAÇÃO DA SECRETARIA DE EDUCAÇÃO, </w:t>
      </w:r>
      <w:r w:rsidR="009043F2" w:rsidRPr="003A70E2">
        <w:rPr>
          <w:rFonts w:ascii="Arial" w:eastAsia="Times New Roman" w:hAnsi="Arial" w:cs="Arial"/>
          <w:color w:val="000000"/>
          <w:sz w:val="24"/>
          <w:szCs w:val="24"/>
          <w:lang w:eastAsia="pt-BR"/>
        </w:rPr>
        <w:t xml:space="preserve">do certame supra transcrito, que passa a fazer parte desta, tendo sido, os referidos preços, oferecidos pela </w:t>
      </w:r>
      <w:r w:rsidR="009043F2" w:rsidRPr="00593DA0">
        <w:rPr>
          <w:rFonts w:ascii="Arial" w:eastAsia="Times New Roman" w:hAnsi="Arial" w:cs="Arial"/>
          <w:color w:val="000000"/>
          <w:sz w:val="24"/>
          <w:szCs w:val="24"/>
          <w:lang w:eastAsia="pt-BR"/>
        </w:rPr>
        <w:t xml:space="preserve">empresa </w:t>
      </w:r>
      <w:r w:rsidR="0057619B">
        <w:rPr>
          <w:rFonts w:eastAsia="Times New Roman" w:cstheme="minorHAnsi"/>
          <w:b/>
          <w:bCs/>
          <w:color w:val="000000"/>
          <w:sz w:val="20"/>
          <w:szCs w:val="20"/>
          <w:lang w:eastAsia="pt-BR"/>
        </w:rPr>
        <w:t xml:space="preserve">CARLINHOS DE MARTINI ME </w:t>
      </w:r>
      <w:r w:rsidR="0057619B">
        <w:rPr>
          <w:rFonts w:eastAsia="Times New Roman" w:cstheme="minorHAnsi"/>
          <w:color w:val="000000"/>
          <w:sz w:val="20"/>
          <w:szCs w:val="20"/>
          <w:lang w:eastAsia="pt-BR"/>
        </w:rPr>
        <w:t xml:space="preserve">situada na </w:t>
      </w:r>
      <w:r w:rsidR="0057619B">
        <w:rPr>
          <w:rFonts w:eastAsia="Times New Roman" w:cstheme="minorHAnsi"/>
          <w:sz w:val="20"/>
          <w:szCs w:val="20"/>
          <w:lang w:eastAsia="pt-BR"/>
        </w:rPr>
        <w:t>Rua Irineu Bornhausen, nº 2177 , Bairro Sa</w:t>
      </w:r>
      <w:r w:rsidR="0057619B">
        <w:rPr>
          <w:rFonts w:eastAsia="Times New Roman" w:cstheme="minorHAnsi"/>
          <w:sz w:val="20"/>
          <w:szCs w:val="20"/>
          <w:lang w:eastAsia="pt-BR"/>
        </w:rPr>
        <w:t>yonara, município de Catanduvas</w:t>
      </w:r>
      <w:r w:rsidR="0057619B">
        <w:rPr>
          <w:rFonts w:eastAsia="Times New Roman" w:cstheme="minorHAnsi"/>
          <w:sz w:val="20"/>
          <w:szCs w:val="20"/>
          <w:lang w:eastAsia="pt-BR"/>
        </w:rPr>
        <w:t xml:space="preserve">/SC </w:t>
      </w:r>
      <w:r w:rsidR="0057619B">
        <w:rPr>
          <w:rFonts w:eastAsia="Times New Roman" w:cstheme="minorHAnsi"/>
          <w:color w:val="000000"/>
          <w:sz w:val="20"/>
          <w:szCs w:val="20"/>
          <w:lang w:eastAsia="pt-BR"/>
        </w:rPr>
        <w:t xml:space="preserve">inscrita no CNPJ sob nº </w:t>
      </w:r>
      <w:r w:rsidR="0057619B">
        <w:rPr>
          <w:rFonts w:eastAsia="Times New Roman" w:cstheme="minorHAnsi"/>
          <w:sz w:val="20"/>
          <w:szCs w:val="20"/>
          <w:lang w:eastAsia="pt-BR"/>
        </w:rPr>
        <w:t>04.550.574/0001-94</w:t>
      </w:r>
      <w:r w:rsidR="009043F2" w:rsidRPr="00593DA0">
        <w:rPr>
          <w:rFonts w:ascii="Arial" w:eastAsia="Times New Roman" w:hAnsi="Arial" w:cs="Arial"/>
          <w:sz w:val="24"/>
          <w:szCs w:val="24"/>
          <w:lang w:eastAsia="pt-BR"/>
        </w:rPr>
        <w:t xml:space="preserve">, </w:t>
      </w:r>
      <w:r w:rsidR="009043F2" w:rsidRPr="00593DA0">
        <w:rPr>
          <w:rFonts w:ascii="Arial" w:eastAsia="Times New Roman" w:hAnsi="Arial" w:cs="Arial"/>
          <w:color w:val="000000"/>
          <w:sz w:val="24"/>
          <w:szCs w:val="24"/>
          <w:lang w:eastAsia="pt-BR"/>
        </w:rPr>
        <w:t>cuja proposta foi classificada em 1</w:t>
      </w:r>
      <w:r w:rsidR="009043F2" w:rsidRPr="00593DA0">
        <w:rPr>
          <w:rFonts w:ascii="Arial" w:eastAsia="Times New Roman" w:hAnsi="Arial" w:cs="Arial"/>
          <w:b/>
          <w:bCs/>
          <w:color w:val="000000"/>
          <w:sz w:val="24"/>
          <w:szCs w:val="24"/>
          <w:lang w:eastAsia="pt-BR"/>
        </w:rPr>
        <w:t xml:space="preserve">º lugar </w:t>
      </w:r>
      <w:r w:rsidR="009043F2" w:rsidRPr="00593DA0">
        <w:rPr>
          <w:rFonts w:ascii="Arial" w:eastAsia="Times New Roman" w:hAnsi="Arial" w:cs="Arial"/>
          <w:color w:val="000000"/>
          <w:sz w:val="24"/>
          <w:szCs w:val="24"/>
          <w:lang w:eastAsia="pt-BR"/>
        </w:rPr>
        <w:t>para os itens abaixo elencados, com características e condiçõ</w:t>
      </w:r>
      <w:r w:rsidR="003A70E2" w:rsidRPr="00593DA0">
        <w:rPr>
          <w:rFonts w:ascii="Arial" w:eastAsia="Times New Roman" w:hAnsi="Arial" w:cs="Arial"/>
          <w:color w:val="000000"/>
          <w:sz w:val="24"/>
          <w:szCs w:val="24"/>
          <w:lang w:eastAsia="pt-BR"/>
        </w:rPr>
        <w:t>es de execução individualizadas:</w:t>
      </w:r>
    </w:p>
    <w:p w:rsidR="003A70E2" w:rsidRPr="003A70E2" w:rsidRDefault="003A70E2" w:rsidP="009043F2">
      <w:pPr>
        <w:spacing w:after="0" w:line="240" w:lineRule="auto"/>
        <w:jc w:val="both"/>
        <w:rPr>
          <w:rFonts w:ascii="Arial" w:eastAsia="Times New Roman" w:hAnsi="Arial" w:cs="Arial"/>
          <w:b/>
          <w:bCs/>
          <w:color w:val="000000"/>
          <w:sz w:val="24"/>
          <w:szCs w:val="24"/>
          <w:lang w:eastAsia="pt-BR"/>
        </w:rPr>
      </w:pPr>
    </w:p>
    <w:p w:rsidR="009D29B3" w:rsidRPr="009D29B3" w:rsidRDefault="009D29B3" w:rsidP="009D29B3">
      <w:pPr>
        <w:spacing w:after="0"/>
        <w:rPr>
          <w:rFonts w:ascii="Calibri" w:eastAsia="Times New Roman" w:hAnsi="Calibri" w:cs="Calibri"/>
          <w:sz w:val="20"/>
          <w:szCs w:val="20"/>
          <w:lang w:eastAsia="pt-BR"/>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2410"/>
        <w:gridCol w:w="850"/>
        <w:gridCol w:w="1134"/>
        <w:gridCol w:w="1276"/>
        <w:gridCol w:w="3118"/>
      </w:tblGrid>
      <w:tr w:rsidR="009D29B3" w:rsidRPr="002E2F99" w:rsidTr="0010488D">
        <w:trPr>
          <w:cantSplit/>
          <w:tblHeader/>
        </w:trPr>
        <w:tc>
          <w:tcPr>
            <w:tcW w:w="851" w:type="dxa"/>
            <w:shd w:val="clear" w:color="auto" w:fill="C0C0C0"/>
            <w:vAlign w:val="center"/>
            <w:hideMark/>
          </w:tcPr>
          <w:p w:rsidR="009D29B3" w:rsidRPr="002E2F99" w:rsidRDefault="009D29B3" w:rsidP="00B33373">
            <w:pPr>
              <w:keepNext/>
              <w:spacing w:after="0"/>
              <w:jc w:val="center"/>
              <w:outlineLvl w:val="0"/>
              <w:rPr>
                <w:rFonts w:eastAsia="Times New Roman" w:cstheme="minorHAnsi"/>
                <w:b/>
                <w:bCs/>
                <w:sz w:val="16"/>
                <w:szCs w:val="16"/>
                <w:highlight w:val="lightGray"/>
                <w:lang w:eastAsia="pt-BR"/>
              </w:rPr>
            </w:pPr>
            <w:r w:rsidRPr="002E2F99">
              <w:rPr>
                <w:rFonts w:eastAsia="Times New Roman" w:cstheme="minorHAnsi"/>
                <w:b/>
                <w:bCs/>
                <w:noProof/>
                <w:sz w:val="16"/>
                <w:szCs w:val="16"/>
                <w:highlight w:val="lightGray"/>
                <w:lang w:eastAsia="pt-BR"/>
              </w:rPr>
              <w:t>Item</w:t>
            </w:r>
          </w:p>
        </w:tc>
        <w:tc>
          <w:tcPr>
            <w:tcW w:w="2410" w:type="dxa"/>
            <w:shd w:val="clear" w:color="auto" w:fill="C0C0C0"/>
            <w:vAlign w:val="center"/>
            <w:hideMark/>
          </w:tcPr>
          <w:p w:rsidR="009D29B3" w:rsidRPr="002E2F99" w:rsidRDefault="009D29B3" w:rsidP="00B33373">
            <w:pPr>
              <w:keepNext/>
              <w:spacing w:after="0"/>
              <w:jc w:val="center"/>
              <w:outlineLvl w:val="0"/>
              <w:rPr>
                <w:rFonts w:eastAsia="Times New Roman" w:cstheme="minorHAnsi"/>
                <w:b/>
                <w:bCs/>
                <w:sz w:val="16"/>
                <w:szCs w:val="16"/>
                <w:highlight w:val="lightGray"/>
                <w:lang w:eastAsia="pt-BR"/>
              </w:rPr>
            </w:pPr>
            <w:r w:rsidRPr="002E2F99">
              <w:rPr>
                <w:rFonts w:eastAsia="Times New Roman" w:cstheme="minorHAnsi"/>
                <w:b/>
                <w:bCs/>
                <w:noProof/>
                <w:sz w:val="16"/>
                <w:szCs w:val="16"/>
                <w:highlight w:val="lightGray"/>
                <w:lang w:eastAsia="pt-BR"/>
              </w:rPr>
              <w:t>Descrição</w:t>
            </w:r>
          </w:p>
        </w:tc>
        <w:tc>
          <w:tcPr>
            <w:tcW w:w="850" w:type="dxa"/>
            <w:shd w:val="clear" w:color="auto" w:fill="C0C0C0"/>
            <w:vAlign w:val="center"/>
            <w:hideMark/>
          </w:tcPr>
          <w:p w:rsidR="009D29B3" w:rsidRPr="002E2F99" w:rsidRDefault="009D29B3" w:rsidP="00B33373">
            <w:pPr>
              <w:spacing w:after="0"/>
              <w:jc w:val="center"/>
              <w:rPr>
                <w:rFonts w:eastAsia="Times New Roman" w:cstheme="minorHAnsi"/>
                <w:b/>
                <w:bCs/>
                <w:noProof/>
                <w:sz w:val="16"/>
                <w:szCs w:val="16"/>
                <w:highlight w:val="lightGray"/>
                <w:lang w:eastAsia="pt-BR"/>
              </w:rPr>
            </w:pPr>
            <w:r w:rsidRPr="002E2F99">
              <w:rPr>
                <w:rFonts w:eastAsia="Times New Roman" w:cstheme="minorHAnsi"/>
                <w:b/>
                <w:bCs/>
                <w:noProof/>
                <w:sz w:val="16"/>
                <w:szCs w:val="16"/>
                <w:highlight w:val="lightGray"/>
                <w:lang w:eastAsia="pt-BR"/>
              </w:rPr>
              <w:t>Ref.</w:t>
            </w:r>
          </w:p>
        </w:tc>
        <w:tc>
          <w:tcPr>
            <w:tcW w:w="1134" w:type="dxa"/>
            <w:shd w:val="clear" w:color="auto" w:fill="C0C0C0"/>
            <w:vAlign w:val="center"/>
            <w:hideMark/>
          </w:tcPr>
          <w:p w:rsidR="009D29B3" w:rsidRPr="002E2F99" w:rsidRDefault="009D29B3" w:rsidP="00B33373">
            <w:pPr>
              <w:keepNext/>
              <w:spacing w:after="0"/>
              <w:jc w:val="center"/>
              <w:outlineLvl w:val="0"/>
              <w:rPr>
                <w:rFonts w:eastAsia="Times New Roman" w:cstheme="minorHAnsi"/>
                <w:b/>
                <w:bCs/>
                <w:noProof/>
                <w:sz w:val="16"/>
                <w:szCs w:val="16"/>
                <w:highlight w:val="lightGray"/>
                <w:lang w:eastAsia="pt-BR"/>
              </w:rPr>
            </w:pPr>
            <w:r w:rsidRPr="002E2F99">
              <w:rPr>
                <w:rFonts w:eastAsia="Times New Roman" w:cstheme="minorHAnsi"/>
                <w:b/>
                <w:bCs/>
                <w:noProof/>
                <w:sz w:val="16"/>
                <w:szCs w:val="16"/>
                <w:highlight w:val="lightGray"/>
                <w:lang w:eastAsia="pt-BR"/>
              </w:rPr>
              <w:t>Qtde</w:t>
            </w:r>
          </w:p>
        </w:tc>
        <w:tc>
          <w:tcPr>
            <w:tcW w:w="1276" w:type="dxa"/>
            <w:shd w:val="clear" w:color="auto" w:fill="C0C0C0"/>
            <w:hideMark/>
          </w:tcPr>
          <w:p w:rsidR="009D29B3" w:rsidRPr="002E2F99" w:rsidRDefault="009D29B3" w:rsidP="00B33373">
            <w:pPr>
              <w:keepNext/>
              <w:spacing w:after="0"/>
              <w:jc w:val="center"/>
              <w:outlineLvl w:val="0"/>
              <w:rPr>
                <w:rFonts w:eastAsia="Times New Roman" w:cstheme="minorHAnsi"/>
                <w:b/>
                <w:bCs/>
                <w:noProof/>
                <w:sz w:val="16"/>
                <w:szCs w:val="16"/>
                <w:highlight w:val="lightGray"/>
                <w:lang w:eastAsia="pt-BR"/>
              </w:rPr>
            </w:pPr>
            <w:r w:rsidRPr="002E2F99">
              <w:rPr>
                <w:rFonts w:eastAsia="Times New Roman" w:cstheme="minorHAnsi"/>
                <w:b/>
                <w:bCs/>
                <w:noProof/>
                <w:sz w:val="16"/>
                <w:szCs w:val="16"/>
                <w:highlight w:val="lightGray"/>
                <w:lang w:eastAsia="pt-BR"/>
              </w:rPr>
              <w:t>Valor Unitário</w:t>
            </w:r>
          </w:p>
        </w:tc>
        <w:tc>
          <w:tcPr>
            <w:tcW w:w="3118" w:type="dxa"/>
            <w:shd w:val="clear" w:color="auto" w:fill="C0C0C0"/>
            <w:hideMark/>
          </w:tcPr>
          <w:p w:rsidR="009D29B3" w:rsidRPr="002E2F99" w:rsidRDefault="009D29B3" w:rsidP="00B33373">
            <w:pPr>
              <w:keepNext/>
              <w:spacing w:after="0"/>
              <w:jc w:val="center"/>
              <w:outlineLvl w:val="0"/>
              <w:rPr>
                <w:rFonts w:eastAsia="Times New Roman" w:cstheme="minorHAnsi"/>
                <w:b/>
                <w:bCs/>
                <w:noProof/>
                <w:sz w:val="16"/>
                <w:szCs w:val="16"/>
                <w:highlight w:val="lightGray"/>
                <w:lang w:val="en-US" w:eastAsia="pt-BR"/>
              </w:rPr>
            </w:pPr>
            <w:r w:rsidRPr="002E2F99">
              <w:rPr>
                <w:rFonts w:eastAsia="Times New Roman" w:cstheme="minorHAnsi"/>
                <w:b/>
                <w:bCs/>
                <w:noProof/>
                <w:sz w:val="16"/>
                <w:szCs w:val="16"/>
                <w:highlight w:val="lightGray"/>
                <w:lang w:val="en-US" w:eastAsia="pt-BR"/>
              </w:rPr>
              <w:t>Valor Total</w:t>
            </w:r>
          </w:p>
        </w:tc>
      </w:tr>
      <w:tr w:rsidR="007F4DDF" w:rsidRPr="002E2F99" w:rsidTr="00DD58F7">
        <w:trPr>
          <w:cantSplit/>
          <w:trHeight w:val="363"/>
        </w:trPr>
        <w:tc>
          <w:tcPr>
            <w:tcW w:w="851" w:type="dxa"/>
            <w:vAlign w:val="center"/>
            <w:hideMark/>
          </w:tcPr>
          <w:p w:rsidR="007F4DDF" w:rsidRPr="002E2F99" w:rsidRDefault="0057619B" w:rsidP="009043F2">
            <w:pPr>
              <w:spacing w:after="0"/>
              <w:jc w:val="center"/>
              <w:rPr>
                <w:rFonts w:eastAsia="Times New Roman" w:cstheme="minorHAnsi"/>
                <w:noProof/>
                <w:sz w:val="16"/>
                <w:szCs w:val="16"/>
                <w:lang w:eastAsia="pt-BR"/>
              </w:rPr>
            </w:pPr>
            <w:r>
              <w:rPr>
                <w:rFonts w:eastAsia="Times New Roman" w:cstheme="minorHAnsi"/>
                <w:noProof/>
                <w:sz w:val="16"/>
                <w:szCs w:val="16"/>
                <w:lang w:eastAsia="pt-BR"/>
              </w:rPr>
              <w:t>6</w:t>
            </w:r>
          </w:p>
        </w:tc>
        <w:tc>
          <w:tcPr>
            <w:tcW w:w="2410" w:type="dxa"/>
          </w:tcPr>
          <w:p w:rsidR="007F4DDF" w:rsidRPr="002E2F99" w:rsidRDefault="0057619B" w:rsidP="00C127F0">
            <w:pPr>
              <w:spacing w:after="0"/>
              <w:jc w:val="both"/>
              <w:rPr>
                <w:rFonts w:eastAsia="Calibri" w:cstheme="minorHAnsi"/>
                <w:sz w:val="16"/>
                <w:szCs w:val="16"/>
              </w:rPr>
            </w:pPr>
            <w:r w:rsidRPr="0057619B">
              <w:rPr>
                <w:rFonts w:eastAsia="Calibri" w:cstheme="minorHAnsi"/>
                <w:sz w:val="16"/>
                <w:szCs w:val="16"/>
              </w:rPr>
              <w:t>LINHA BARRAGEM RIO DO MATO: PERCURSO IDA E VOLTA, SAINDO DA CAMPINA DA ALEGRIA, PASSANDO PELO CTG ESPORA DE PRATA ATÉ A BARRAGEM RIO DO MATO. VEÍCULO COM CAPACIDADE PARA 12 PASSAGEIROS. TURNO: MATUTINO E VESPERTINO. TOTAL DE QUILOMETRAGEM: 66,3 KM/RODADOS POR DIA</w:t>
            </w:r>
          </w:p>
        </w:tc>
        <w:tc>
          <w:tcPr>
            <w:tcW w:w="850" w:type="dxa"/>
            <w:vAlign w:val="center"/>
            <w:hideMark/>
          </w:tcPr>
          <w:p w:rsidR="007F4DDF" w:rsidRPr="002E2F99" w:rsidRDefault="00DD58F7" w:rsidP="00DD58F7">
            <w:pPr>
              <w:spacing w:after="0"/>
              <w:rPr>
                <w:rFonts w:eastAsia="Times New Roman" w:cstheme="minorHAnsi"/>
                <w:noProof/>
                <w:sz w:val="16"/>
                <w:szCs w:val="16"/>
                <w:lang w:val="es-ES_tradnl" w:eastAsia="pt-BR"/>
              </w:rPr>
            </w:pPr>
            <w:r>
              <w:rPr>
                <w:rFonts w:eastAsia="Times New Roman" w:cstheme="minorHAnsi"/>
                <w:noProof/>
                <w:sz w:val="16"/>
                <w:szCs w:val="16"/>
                <w:lang w:val="es-ES_tradnl" w:eastAsia="pt-BR"/>
              </w:rPr>
              <w:t xml:space="preserve">    </w:t>
            </w:r>
            <w:r w:rsidR="007F4DDF" w:rsidRPr="002E2F99">
              <w:rPr>
                <w:rFonts w:eastAsia="Times New Roman" w:cstheme="minorHAnsi"/>
                <w:noProof/>
                <w:sz w:val="16"/>
                <w:szCs w:val="16"/>
                <w:lang w:val="es-ES_tradnl" w:eastAsia="pt-BR"/>
              </w:rPr>
              <w:t>KM</w:t>
            </w:r>
          </w:p>
        </w:tc>
        <w:tc>
          <w:tcPr>
            <w:tcW w:w="1134" w:type="dxa"/>
            <w:hideMark/>
          </w:tcPr>
          <w:p w:rsidR="0057619B" w:rsidRDefault="0057619B" w:rsidP="0057619B">
            <w:pPr>
              <w:spacing w:after="0"/>
              <w:rPr>
                <w:rFonts w:cstheme="minorHAnsi"/>
                <w:color w:val="000000"/>
                <w:sz w:val="16"/>
                <w:szCs w:val="16"/>
              </w:rPr>
            </w:pPr>
          </w:p>
          <w:p w:rsidR="007F4DDF" w:rsidRPr="002E2F99" w:rsidRDefault="0057619B" w:rsidP="0057619B">
            <w:pPr>
              <w:spacing w:after="0"/>
              <w:rPr>
                <w:rFonts w:cstheme="minorHAnsi"/>
                <w:color w:val="000000"/>
                <w:sz w:val="16"/>
                <w:szCs w:val="16"/>
              </w:rPr>
            </w:pPr>
            <w:r>
              <w:rPr>
                <w:rFonts w:cstheme="minorHAnsi"/>
                <w:color w:val="000000"/>
                <w:sz w:val="16"/>
                <w:szCs w:val="16"/>
              </w:rPr>
              <w:t>13.260</w:t>
            </w:r>
          </w:p>
        </w:tc>
        <w:tc>
          <w:tcPr>
            <w:tcW w:w="1276" w:type="dxa"/>
            <w:hideMark/>
          </w:tcPr>
          <w:p w:rsidR="007F4DDF" w:rsidRDefault="007F4DDF" w:rsidP="00C127F0">
            <w:pPr>
              <w:spacing w:after="0"/>
              <w:jc w:val="center"/>
              <w:rPr>
                <w:rFonts w:cstheme="minorHAnsi"/>
                <w:color w:val="000000"/>
                <w:sz w:val="16"/>
                <w:szCs w:val="16"/>
              </w:rPr>
            </w:pPr>
          </w:p>
          <w:p w:rsidR="0057619B" w:rsidRPr="002E2F99" w:rsidRDefault="0057619B" w:rsidP="00C127F0">
            <w:pPr>
              <w:spacing w:after="0"/>
              <w:jc w:val="center"/>
              <w:rPr>
                <w:rFonts w:cstheme="minorHAnsi"/>
                <w:color w:val="000000"/>
                <w:sz w:val="16"/>
                <w:szCs w:val="16"/>
              </w:rPr>
            </w:pPr>
            <w:r>
              <w:rPr>
                <w:rFonts w:cstheme="minorHAnsi"/>
                <w:color w:val="000000"/>
                <w:sz w:val="16"/>
                <w:szCs w:val="16"/>
              </w:rPr>
              <w:t>5,65</w:t>
            </w:r>
          </w:p>
        </w:tc>
        <w:tc>
          <w:tcPr>
            <w:tcW w:w="3118" w:type="dxa"/>
            <w:vAlign w:val="center"/>
            <w:hideMark/>
          </w:tcPr>
          <w:p w:rsidR="007F4DDF" w:rsidRPr="002E2F99" w:rsidRDefault="0057619B" w:rsidP="00B33373">
            <w:pPr>
              <w:spacing w:after="0"/>
              <w:jc w:val="center"/>
              <w:rPr>
                <w:rFonts w:cstheme="minorHAnsi"/>
                <w:color w:val="000000"/>
                <w:sz w:val="16"/>
                <w:szCs w:val="16"/>
              </w:rPr>
            </w:pPr>
            <w:r>
              <w:rPr>
                <w:rFonts w:cstheme="minorHAnsi"/>
                <w:color w:val="000000"/>
                <w:sz w:val="16"/>
                <w:szCs w:val="16"/>
              </w:rPr>
              <w:t>74.919,00</w:t>
            </w:r>
          </w:p>
        </w:tc>
      </w:tr>
      <w:tr w:rsidR="0057619B" w:rsidRPr="002E2F99" w:rsidTr="00DD58F7">
        <w:trPr>
          <w:cantSplit/>
          <w:trHeight w:val="363"/>
        </w:trPr>
        <w:tc>
          <w:tcPr>
            <w:tcW w:w="851" w:type="dxa"/>
            <w:vAlign w:val="center"/>
          </w:tcPr>
          <w:p w:rsidR="0057619B" w:rsidRDefault="0057619B" w:rsidP="009043F2">
            <w:pPr>
              <w:spacing w:after="0"/>
              <w:jc w:val="center"/>
              <w:rPr>
                <w:rFonts w:eastAsia="Times New Roman" w:cstheme="minorHAnsi"/>
                <w:noProof/>
                <w:sz w:val="16"/>
                <w:szCs w:val="16"/>
                <w:lang w:eastAsia="pt-BR"/>
              </w:rPr>
            </w:pPr>
            <w:r>
              <w:rPr>
                <w:rFonts w:eastAsia="Times New Roman" w:cstheme="minorHAnsi"/>
                <w:noProof/>
                <w:sz w:val="16"/>
                <w:szCs w:val="16"/>
                <w:lang w:eastAsia="pt-BR"/>
              </w:rPr>
              <w:t>7</w:t>
            </w:r>
          </w:p>
        </w:tc>
        <w:tc>
          <w:tcPr>
            <w:tcW w:w="2410" w:type="dxa"/>
          </w:tcPr>
          <w:p w:rsidR="0057619B" w:rsidRPr="002E2F99" w:rsidRDefault="0057619B" w:rsidP="00C127F0">
            <w:pPr>
              <w:spacing w:after="0"/>
              <w:jc w:val="both"/>
              <w:rPr>
                <w:rFonts w:eastAsia="Calibri" w:cstheme="minorHAnsi"/>
                <w:sz w:val="16"/>
                <w:szCs w:val="16"/>
              </w:rPr>
            </w:pPr>
            <w:r w:rsidRPr="0057619B">
              <w:rPr>
                <w:rFonts w:eastAsia="Calibri" w:cstheme="minorHAnsi"/>
                <w:sz w:val="16"/>
                <w:szCs w:val="16"/>
              </w:rPr>
              <w:t>LINHA ADAMI: PERCURSO SAÍDA ESCOLA ADAMI, PASSANDO PELA FAZENDA MARRECAS, FAZENDA LIMOEIRO ATÉ A ESCOLA DA VILA DA CAMPINA DA ALEGRIA, RETORNANDO PELO LIMOEIRO FAZENDA MARRECAS E FAZENDA PLANALTO ATÉ A ESCOLA ADAMI. A TARDE SOMENTE RETORNO ATÉ A FAZENDA PLANALTO: VEÍCULO COM CAPACIDADE 18 LUGARES TOTAL DE QUILOMETRAGEM 91,4 KM</w:t>
            </w:r>
          </w:p>
        </w:tc>
        <w:tc>
          <w:tcPr>
            <w:tcW w:w="850" w:type="dxa"/>
            <w:vAlign w:val="center"/>
          </w:tcPr>
          <w:p w:rsidR="0057619B" w:rsidRDefault="0057619B" w:rsidP="00DD58F7">
            <w:pPr>
              <w:spacing w:after="0"/>
              <w:rPr>
                <w:rFonts w:eastAsia="Times New Roman" w:cstheme="minorHAnsi"/>
                <w:noProof/>
                <w:sz w:val="16"/>
                <w:szCs w:val="16"/>
                <w:lang w:val="es-ES_tradnl" w:eastAsia="pt-BR"/>
              </w:rPr>
            </w:pPr>
            <w:r>
              <w:rPr>
                <w:rFonts w:eastAsia="Times New Roman" w:cstheme="minorHAnsi"/>
                <w:noProof/>
                <w:sz w:val="16"/>
                <w:szCs w:val="16"/>
                <w:lang w:val="es-ES_tradnl" w:eastAsia="pt-BR"/>
              </w:rPr>
              <w:t>KM</w:t>
            </w:r>
          </w:p>
        </w:tc>
        <w:tc>
          <w:tcPr>
            <w:tcW w:w="1134" w:type="dxa"/>
          </w:tcPr>
          <w:p w:rsidR="0057619B" w:rsidRDefault="0057619B" w:rsidP="0057619B">
            <w:pPr>
              <w:spacing w:after="0"/>
              <w:rPr>
                <w:rFonts w:cstheme="minorHAnsi"/>
                <w:color w:val="000000"/>
                <w:sz w:val="16"/>
                <w:szCs w:val="16"/>
              </w:rPr>
            </w:pPr>
          </w:p>
          <w:p w:rsidR="0057619B" w:rsidRDefault="0057619B" w:rsidP="0057619B">
            <w:pPr>
              <w:spacing w:after="0"/>
              <w:rPr>
                <w:rFonts w:cstheme="minorHAnsi"/>
                <w:color w:val="000000"/>
                <w:sz w:val="16"/>
                <w:szCs w:val="16"/>
              </w:rPr>
            </w:pPr>
          </w:p>
          <w:p w:rsidR="0057619B" w:rsidRDefault="0057619B" w:rsidP="0057619B">
            <w:pPr>
              <w:spacing w:after="0"/>
              <w:rPr>
                <w:rFonts w:cstheme="minorHAnsi"/>
                <w:color w:val="000000"/>
                <w:sz w:val="16"/>
                <w:szCs w:val="16"/>
              </w:rPr>
            </w:pPr>
          </w:p>
          <w:p w:rsidR="0057619B" w:rsidRDefault="0057619B" w:rsidP="0057619B">
            <w:pPr>
              <w:spacing w:after="0"/>
              <w:rPr>
                <w:rFonts w:cstheme="minorHAnsi"/>
                <w:color w:val="000000"/>
                <w:sz w:val="16"/>
                <w:szCs w:val="16"/>
              </w:rPr>
            </w:pPr>
          </w:p>
          <w:p w:rsidR="0057619B" w:rsidRDefault="0057619B" w:rsidP="0057619B">
            <w:pPr>
              <w:spacing w:after="0"/>
              <w:rPr>
                <w:rFonts w:cstheme="minorHAnsi"/>
                <w:color w:val="000000"/>
                <w:sz w:val="16"/>
                <w:szCs w:val="16"/>
              </w:rPr>
            </w:pPr>
          </w:p>
          <w:p w:rsidR="0057619B" w:rsidRDefault="0057619B" w:rsidP="0057619B">
            <w:pPr>
              <w:spacing w:after="0"/>
              <w:rPr>
                <w:rFonts w:cstheme="minorHAnsi"/>
                <w:color w:val="000000"/>
                <w:sz w:val="16"/>
                <w:szCs w:val="16"/>
              </w:rPr>
            </w:pPr>
          </w:p>
          <w:p w:rsidR="0057619B" w:rsidRDefault="0057619B" w:rsidP="0057619B">
            <w:pPr>
              <w:spacing w:after="0"/>
              <w:rPr>
                <w:rFonts w:cstheme="minorHAnsi"/>
                <w:color w:val="000000"/>
                <w:sz w:val="16"/>
                <w:szCs w:val="16"/>
              </w:rPr>
            </w:pPr>
            <w:r>
              <w:rPr>
                <w:rFonts w:cstheme="minorHAnsi"/>
                <w:color w:val="000000"/>
                <w:sz w:val="16"/>
                <w:szCs w:val="16"/>
              </w:rPr>
              <w:t>20.108</w:t>
            </w:r>
          </w:p>
        </w:tc>
        <w:tc>
          <w:tcPr>
            <w:tcW w:w="1276" w:type="dxa"/>
          </w:tcPr>
          <w:p w:rsidR="0057619B" w:rsidRDefault="0057619B" w:rsidP="00C127F0">
            <w:pPr>
              <w:spacing w:after="0"/>
              <w:jc w:val="center"/>
              <w:rPr>
                <w:rFonts w:cstheme="minorHAnsi"/>
                <w:color w:val="000000"/>
                <w:sz w:val="16"/>
                <w:szCs w:val="16"/>
              </w:rPr>
            </w:pPr>
          </w:p>
          <w:p w:rsidR="0057619B" w:rsidRDefault="0057619B" w:rsidP="00C127F0">
            <w:pPr>
              <w:spacing w:after="0"/>
              <w:jc w:val="center"/>
              <w:rPr>
                <w:rFonts w:cstheme="minorHAnsi"/>
                <w:color w:val="000000"/>
                <w:sz w:val="16"/>
                <w:szCs w:val="16"/>
              </w:rPr>
            </w:pPr>
          </w:p>
          <w:p w:rsidR="0057619B" w:rsidRDefault="0057619B" w:rsidP="00C127F0">
            <w:pPr>
              <w:spacing w:after="0"/>
              <w:jc w:val="center"/>
              <w:rPr>
                <w:rFonts w:cstheme="minorHAnsi"/>
                <w:color w:val="000000"/>
                <w:sz w:val="16"/>
                <w:szCs w:val="16"/>
              </w:rPr>
            </w:pPr>
          </w:p>
          <w:p w:rsidR="0057619B" w:rsidRDefault="0057619B" w:rsidP="00C127F0">
            <w:pPr>
              <w:spacing w:after="0"/>
              <w:jc w:val="center"/>
              <w:rPr>
                <w:rFonts w:cstheme="minorHAnsi"/>
                <w:color w:val="000000"/>
                <w:sz w:val="16"/>
                <w:szCs w:val="16"/>
              </w:rPr>
            </w:pPr>
          </w:p>
          <w:p w:rsidR="0057619B" w:rsidRDefault="0057619B" w:rsidP="00C127F0">
            <w:pPr>
              <w:spacing w:after="0"/>
              <w:jc w:val="center"/>
              <w:rPr>
                <w:rFonts w:cstheme="minorHAnsi"/>
                <w:color w:val="000000"/>
                <w:sz w:val="16"/>
                <w:szCs w:val="16"/>
              </w:rPr>
            </w:pPr>
          </w:p>
          <w:p w:rsidR="0057619B" w:rsidRDefault="0057619B" w:rsidP="00C127F0">
            <w:pPr>
              <w:spacing w:after="0"/>
              <w:jc w:val="center"/>
              <w:rPr>
                <w:rFonts w:cstheme="minorHAnsi"/>
                <w:color w:val="000000"/>
                <w:sz w:val="16"/>
                <w:szCs w:val="16"/>
              </w:rPr>
            </w:pPr>
          </w:p>
          <w:p w:rsidR="0057619B" w:rsidRDefault="0057619B" w:rsidP="00C127F0">
            <w:pPr>
              <w:spacing w:after="0"/>
              <w:jc w:val="center"/>
              <w:rPr>
                <w:rFonts w:cstheme="minorHAnsi"/>
                <w:color w:val="000000"/>
                <w:sz w:val="16"/>
                <w:szCs w:val="16"/>
              </w:rPr>
            </w:pPr>
            <w:r>
              <w:rPr>
                <w:rFonts w:cstheme="minorHAnsi"/>
                <w:color w:val="000000"/>
                <w:sz w:val="16"/>
                <w:szCs w:val="16"/>
              </w:rPr>
              <w:t>4,55</w:t>
            </w:r>
          </w:p>
        </w:tc>
        <w:tc>
          <w:tcPr>
            <w:tcW w:w="3118" w:type="dxa"/>
            <w:vAlign w:val="center"/>
          </w:tcPr>
          <w:p w:rsidR="0057619B" w:rsidRDefault="0057619B" w:rsidP="00B33373">
            <w:pPr>
              <w:spacing w:after="0"/>
              <w:jc w:val="center"/>
              <w:rPr>
                <w:rFonts w:cstheme="minorHAnsi"/>
                <w:color w:val="000000"/>
                <w:sz w:val="16"/>
                <w:szCs w:val="16"/>
              </w:rPr>
            </w:pPr>
            <w:r>
              <w:rPr>
                <w:rFonts w:cstheme="minorHAnsi"/>
                <w:color w:val="000000"/>
                <w:sz w:val="16"/>
                <w:szCs w:val="16"/>
              </w:rPr>
              <w:t>91.491,40</w:t>
            </w:r>
          </w:p>
        </w:tc>
      </w:tr>
      <w:tr w:rsidR="007F4DDF" w:rsidRPr="002E2F99" w:rsidTr="0010488D">
        <w:trPr>
          <w:cantSplit/>
        </w:trPr>
        <w:tc>
          <w:tcPr>
            <w:tcW w:w="6521" w:type="dxa"/>
            <w:gridSpan w:val="5"/>
            <w:hideMark/>
          </w:tcPr>
          <w:p w:rsidR="007F4DDF" w:rsidRPr="002E2F99" w:rsidRDefault="007F4DDF" w:rsidP="00B33373">
            <w:pPr>
              <w:spacing w:after="0"/>
              <w:rPr>
                <w:rFonts w:eastAsia="Times New Roman" w:cstheme="minorHAnsi"/>
                <w:b/>
                <w:bCs/>
                <w:noProof/>
                <w:sz w:val="16"/>
                <w:szCs w:val="16"/>
                <w:lang w:eastAsia="pt-BR"/>
              </w:rPr>
            </w:pPr>
            <w:r w:rsidRPr="002E2F99">
              <w:rPr>
                <w:rFonts w:eastAsia="Times New Roman" w:cstheme="minorHAnsi"/>
                <w:b/>
                <w:bCs/>
                <w:noProof/>
                <w:sz w:val="16"/>
                <w:szCs w:val="16"/>
                <w:lang w:eastAsia="pt-BR"/>
              </w:rPr>
              <w:lastRenderedPageBreak/>
              <w:t>Valor Total Registrado</w:t>
            </w:r>
          </w:p>
        </w:tc>
        <w:tc>
          <w:tcPr>
            <w:tcW w:w="3118" w:type="dxa"/>
            <w:vAlign w:val="center"/>
            <w:hideMark/>
          </w:tcPr>
          <w:p w:rsidR="007F4DDF" w:rsidRPr="002E2F99" w:rsidRDefault="0057619B" w:rsidP="002E2F99">
            <w:pPr>
              <w:spacing w:after="0"/>
              <w:jc w:val="center"/>
              <w:rPr>
                <w:rFonts w:cstheme="minorHAnsi"/>
                <w:b/>
                <w:color w:val="000000"/>
                <w:sz w:val="16"/>
                <w:szCs w:val="16"/>
              </w:rPr>
            </w:pPr>
            <w:r>
              <w:rPr>
                <w:rFonts w:cstheme="minorHAnsi"/>
                <w:b/>
                <w:color w:val="000000"/>
                <w:sz w:val="16"/>
                <w:szCs w:val="16"/>
              </w:rPr>
              <w:t>166,410,40</w:t>
            </w:r>
          </w:p>
        </w:tc>
      </w:tr>
    </w:tbl>
    <w:p w:rsidR="009D29B3" w:rsidRPr="009D29B3" w:rsidRDefault="009D29B3" w:rsidP="009D29B3">
      <w:pPr>
        <w:spacing w:after="0"/>
        <w:rPr>
          <w:rFonts w:ascii="Calibri" w:eastAsia="Times New Roman" w:hAnsi="Calibri" w:cs="Calibri"/>
          <w:sz w:val="20"/>
          <w:szCs w:val="20"/>
          <w:lang w:eastAsia="pt-BR"/>
        </w:rPr>
      </w:pPr>
    </w:p>
    <w:p w:rsidR="003A70E2" w:rsidRPr="003A70E2" w:rsidRDefault="003A70E2" w:rsidP="003A70E2">
      <w:pPr>
        <w:autoSpaceDE w:val="0"/>
        <w:autoSpaceDN w:val="0"/>
        <w:adjustRightInd w:val="0"/>
        <w:spacing w:after="0" w:line="240" w:lineRule="auto"/>
        <w:jc w:val="both"/>
        <w:rPr>
          <w:rFonts w:ascii="Arial" w:hAnsi="Arial" w:cs="Arial"/>
          <w:sz w:val="24"/>
          <w:szCs w:val="24"/>
        </w:rPr>
      </w:pPr>
      <w:r w:rsidRPr="003A70E2">
        <w:rPr>
          <w:rFonts w:ascii="Arial" w:hAnsi="Arial" w:cs="Arial"/>
          <w:sz w:val="24"/>
          <w:szCs w:val="24"/>
        </w:rPr>
        <w:t>Os itens que comporão o objeto do presente contrato encontram-se listados, contendo as características e quantidades, através do “anexo I” do presente e no Termo de Homologação e Adjudicação.</w:t>
      </w:r>
    </w:p>
    <w:p w:rsidR="00C127F0" w:rsidRPr="003A70E2" w:rsidRDefault="00C127F0" w:rsidP="003A70E2">
      <w:pPr>
        <w:autoSpaceDE w:val="0"/>
        <w:autoSpaceDN w:val="0"/>
        <w:adjustRightInd w:val="0"/>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Fica consignado que o preço registrado na presente ata é válido pelo prazo de 12 (doze) meses contados da data de sua assinatura.</w:t>
      </w:r>
    </w:p>
    <w:p w:rsidR="00C127F0" w:rsidRPr="003A70E2" w:rsidRDefault="00C127F0" w:rsidP="003A70E2">
      <w:pPr>
        <w:autoSpaceDE w:val="0"/>
        <w:autoSpaceDN w:val="0"/>
        <w:adjustRightInd w:val="0"/>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C127F0" w:rsidRPr="003A70E2" w:rsidRDefault="00C127F0" w:rsidP="003A70E2">
      <w:pPr>
        <w:autoSpaceDE w:val="0"/>
        <w:autoSpaceDN w:val="0"/>
        <w:adjustRightInd w:val="0"/>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 xml:space="preserve"> A rescisão contratual poderá ser:</w:t>
      </w:r>
    </w:p>
    <w:p w:rsidR="002A088E" w:rsidRPr="003A70E2" w:rsidRDefault="00C127F0" w:rsidP="003A70E2">
      <w:pPr>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 xml:space="preserve">Determinada por ato unilateral da Administração, nos casos enunciados nos incisos I a XII e </w:t>
      </w:r>
      <w:r w:rsidR="002A088E" w:rsidRPr="003A70E2">
        <w:rPr>
          <w:rFonts w:ascii="Arial" w:eastAsia="Times New Roman" w:hAnsi="Arial" w:cs="Arial"/>
          <w:sz w:val="24"/>
          <w:szCs w:val="24"/>
        </w:rPr>
        <w:t>XVII do art. 78 da Lei 8.666/93:</w:t>
      </w:r>
    </w:p>
    <w:p w:rsidR="002A088E" w:rsidRPr="003A70E2" w:rsidRDefault="00C127F0" w:rsidP="003A70E2">
      <w:pPr>
        <w:pStyle w:val="PargrafodaLista"/>
        <w:numPr>
          <w:ilvl w:val="0"/>
          <w:numId w:val="15"/>
        </w:numPr>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Amigável, mediante autorização da autoridade competente, reduzida a termo no processo licitatório, desde que demonstrada co</w:t>
      </w:r>
      <w:r w:rsidR="002A088E" w:rsidRPr="003A70E2">
        <w:rPr>
          <w:rFonts w:ascii="Arial" w:eastAsia="Times New Roman" w:hAnsi="Arial" w:cs="Arial"/>
          <w:sz w:val="24"/>
          <w:szCs w:val="24"/>
        </w:rPr>
        <w:t>nveniência para a Administração;</w:t>
      </w:r>
    </w:p>
    <w:p w:rsidR="00C127F0" w:rsidRPr="003A70E2" w:rsidRDefault="00C127F0" w:rsidP="003A70E2">
      <w:pPr>
        <w:pStyle w:val="PargrafodaLista"/>
        <w:numPr>
          <w:ilvl w:val="0"/>
          <w:numId w:val="15"/>
        </w:numPr>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Pelo atraso injustificado na prestação dos serviços, objeto deste Contrato, sujeita-se a CONTRATADA às penalidades previstas nos artigos 86 e 87 da Lei 8.666/93.</w:t>
      </w:r>
    </w:p>
    <w:p w:rsidR="00C127F0" w:rsidRPr="003A70E2" w:rsidRDefault="00C127F0" w:rsidP="003A70E2">
      <w:pPr>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O presente termo não poderá ser objeto de cessão ou transferência, no todo ou em parte.</w:t>
      </w:r>
    </w:p>
    <w:p w:rsidR="0010488D" w:rsidRPr="003A70E2" w:rsidRDefault="00C127F0" w:rsidP="003A70E2">
      <w:pPr>
        <w:autoSpaceDE w:val="0"/>
        <w:autoSpaceDN w:val="0"/>
        <w:adjustRightInd w:val="0"/>
        <w:spacing w:after="0" w:line="240" w:lineRule="auto"/>
        <w:jc w:val="both"/>
        <w:rPr>
          <w:rFonts w:ascii="Arial" w:eastAsia="Times New Roman" w:hAnsi="Arial" w:cs="Arial"/>
          <w:sz w:val="24"/>
          <w:szCs w:val="24"/>
        </w:rPr>
      </w:pPr>
      <w:r w:rsidRPr="003A70E2">
        <w:rPr>
          <w:rFonts w:ascii="Arial" w:eastAsia="Times New Roman" w:hAnsi="Arial" w:cs="Arial"/>
          <w:sz w:val="24"/>
          <w:szCs w:val="24"/>
        </w:rPr>
        <w:t>Nada mais havendo a ser declarado, foi encerrada a presente ata que, após lida e aprovada, será assinada pelas partes.</w:t>
      </w:r>
    </w:p>
    <w:p w:rsidR="0018603A" w:rsidRPr="003A70E2" w:rsidRDefault="0018603A" w:rsidP="003A70E2">
      <w:pPr>
        <w:autoSpaceDE w:val="0"/>
        <w:autoSpaceDN w:val="0"/>
        <w:adjustRightInd w:val="0"/>
        <w:spacing w:after="0" w:line="240" w:lineRule="auto"/>
        <w:jc w:val="both"/>
        <w:rPr>
          <w:rFonts w:ascii="Arial" w:eastAsia="Times New Roman" w:hAnsi="Arial" w:cs="Arial"/>
          <w:color w:val="000000"/>
          <w:sz w:val="24"/>
          <w:szCs w:val="24"/>
          <w:lang w:eastAsia="pt-BR"/>
        </w:rPr>
      </w:pPr>
    </w:p>
    <w:p w:rsidR="00554736" w:rsidRPr="003A70E2" w:rsidRDefault="009D29B3" w:rsidP="00384A26">
      <w:pPr>
        <w:spacing w:after="0"/>
        <w:jc w:val="right"/>
        <w:rPr>
          <w:rFonts w:ascii="Arial" w:eastAsia="Times New Roman" w:hAnsi="Arial" w:cs="Arial"/>
          <w:bCs/>
          <w:sz w:val="24"/>
          <w:szCs w:val="24"/>
          <w:lang w:eastAsia="pt-BR"/>
        </w:rPr>
      </w:pPr>
      <w:r w:rsidRPr="003A70E2">
        <w:rPr>
          <w:rFonts w:ascii="Arial" w:eastAsia="Times New Roman" w:hAnsi="Arial" w:cs="Arial"/>
          <w:bCs/>
          <w:sz w:val="24"/>
          <w:szCs w:val="24"/>
          <w:lang w:eastAsia="pt-BR"/>
        </w:rPr>
        <w:t xml:space="preserve">Ponte </w:t>
      </w:r>
      <w:r w:rsidR="00384A26" w:rsidRPr="003A70E2">
        <w:rPr>
          <w:rFonts w:ascii="Arial" w:eastAsia="Times New Roman" w:hAnsi="Arial" w:cs="Arial"/>
          <w:bCs/>
          <w:sz w:val="24"/>
          <w:szCs w:val="24"/>
          <w:lang w:eastAsia="pt-BR"/>
        </w:rPr>
        <w:t>Serrada - SC</w:t>
      </w:r>
      <w:r w:rsidRPr="003A70E2">
        <w:rPr>
          <w:rFonts w:ascii="Arial" w:eastAsia="Times New Roman" w:hAnsi="Arial" w:cs="Arial"/>
          <w:bCs/>
          <w:sz w:val="24"/>
          <w:szCs w:val="24"/>
          <w:lang w:eastAsia="pt-BR"/>
        </w:rPr>
        <w:t>,</w:t>
      </w:r>
      <w:r w:rsidR="00384A26" w:rsidRPr="003A70E2">
        <w:rPr>
          <w:rFonts w:ascii="Arial" w:eastAsia="Times New Roman" w:hAnsi="Arial" w:cs="Arial"/>
          <w:bCs/>
          <w:sz w:val="24"/>
          <w:szCs w:val="24"/>
          <w:lang w:eastAsia="pt-BR"/>
        </w:rPr>
        <w:t xml:space="preserve"> </w:t>
      </w:r>
      <w:r w:rsidR="00453D2E">
        <w:rPr>
          <w:rFonts w:ascii="Arial" w:eastAsia="Times New Roman" w:hAnsi="Arial" w:cs="Arial"/>
          <w:bCs/>
          <w:sz w:val="24"/>
          <w:szCs w:val="24"/>
          <w:lang w:eastAsia="pt-BR"/>
        </w:rPr>
        <w:t>20 de fevereiro</w:t>
      </w:r>
      <w:bookmarkStart w:id="0" w:name="_GoBack"/>
      <w:bookmarkEnd w:id="0"/>
      <w:r w:rsidR="009043F2" w:rsidRPr="003A70E2">
        <w:rPr>
          <w:rFonts w:ascii="Arial" w:eastAsia="Times New Roman" w:hAnsi="Arial" w:cs="Arial"/>
          <w:bCs/>
          <w:sz w:val="24"/>
          <w:szCs w:val="24"/>
          <w:lang w:eastAsia="pt-BR"/>
        </w:rPr>
        <w:t xml:space="preserve"> de 2021.</w:t>
      </w:r>
    </w:p>
    <w:p w:rsidR="00384A26" w:rsidRPr="003A70E2" w:rsidRDefault="00384A26" w:rsidP="00384A26">
      <w:pPr>
        <w:autoSpaceDE w:val="0"/>
        <w:autoSpaceDN w:val="0"/>
        <w:adjustRightInd w:val="0"/>
        <w:spacing w:after="0"/>
        <w:jc w:val="right"/>
        <w:rPr>
          <w:rFonts w:ascii="Arial" w:eastAsia="Times New Roman" w:hAnsi="Arial" w:cs="Arial"/>
          <w:b/>
          <w:bCs/>
          <w:sz w:val="24"/>
          <w:szCs w:val="24"/>
        </w:rPr>
      </w:pPr>
    </w:p>
    <w:p w:rsidR="00384A26" w:rsidRPr="003A70E2" w:rsidRDefault="00384A26" w:rsidP="003169EC">
      <w:pPr>
        <w:autoSpaceDE w:val="0"/>
        <w:autoSpaceDN w:val="0"/>
        <w:adjustRightInd w:val="0"/>
        <w:spacing w:after="0"/>
        <w:jc w:val="center"/>
        <w:rPr>
          <w:rFonts w:ascii="Arial" w:eastAsia="Times New Roman" w:hAnsi="Arial" w:cs="Arial"/>
          <w:sz w:val="24"/>
          <w:szCs w:val="24"/>
        </w:rPr>
      </w:pPr>
    </w:p>
    <w:tbl>
      <w:tblPr>
        <w:tblW w:w="9072" w:type="dxa"/>
        <w:tblLook w:val="01E0" w:firstRow="1" w:lastRow="1" w:firstColumn="1" w:lastColumn="1" w:noHBand="0" w:noVBand="0"/>
      </w:tblPr>
      <w:tblGrid>
        <w:gridCol w:w="4536"/>
        <w:gridCol w:w="4536"/>
      </w:tblGrid>
      <w:tr w:rsidR="00384A26" w:rsidRPr="003A70E2" w:rsidTr="00B33373">
        <w:tc>
          <w:tcPr>
            <w:tcW w:w="4536" w:type="dxa"/>
            <w:hideMark/>
          </w:tcPr>
          <w:p w:rsidR="00384A26" w:rsidRPr="003A70E2" w:rsidRDefault="00384A26" w:rsidP="00384A26">
            <w:pPr>
              <w:widowControl w:val="0"/>
              <w:spacing w:after="0" w:line="240" w:lineRule="auto"/>
              <w:jc w:val="both"/>
              <w:rPr>
                <w:rFonts w:ascii="Arial" w:eastAsia="Times New Roman" w:hAnsi="Arial" w:cs="Arial"/>
                <w:b/>
                <w:color w:val="000000"/>
                <w:sz w:val="24"/>
                <w:szCs w:val="24"/>
                <w:lang w:eastAsia="pt-BR"/>
              </w:rPr>
            </w:pPr>
            <w:r w:rsidRPr="003A70E2">
              <w:rPr>
                <w:rFonts w:ascii="Arial" w:eastAsia="Times New Roman" w:hAnsi="Arial" w:cs="Arial"/>
                <w:b/>
                <w:sz w:val="24"/>
                <w:szCs w:val="24"/>
              </w:rPr>
              <w:t>ALCEU ALBERTO WRUBEL</w:t>
            </w:r>
            <w:r w:rsidRPr="003A70E2">
              <w:rPr>
                <w:rFonts w:ascii="Arial" w:eastAsia="Times New Roman" w:hAnsi="Arial" w:cs="Arial"/>
                <w:b/>
                <w:color w:val="000000"/>
                <w:sz w:val="24"/>
                <w:szCs w:val="24"/>
                <w:lang w:eastAsia="pt-BR"/>
              </w:rPr>
              <w:t xml:space="preserve"> </w:t>
            </w:r>
            <w:r w:rsidR="003169EC" w:rsidRPr="003A70E2">
              <w:rPr>
                <w:rFonts w:ascii="Arial" w:eastAsia="Times New Roman" w:hAnsi="Arial" w:cs="Arial"/>
                <w:b/>
                <w:color w:val="000000"/>
                <w:sz w:val="24"/>
                <w:szCs w:val="24"/>
                <w:lang w:eastAsia="pt-BR"/>
              </w:rPr>
              <w:t xml:space="preserve"> </w:t>
            </w:r>
            <w:r w:rsidR="003A70E2">
              <w:rPr>
                <w:rFonts w:ascii="Arial" w:eastAsia="Times New Roman" w:hAnsi="Arial" w:cs="Arial"/>
                <w:b/>
                <w:color w:val="000000"/>
                <w:sz w:val="24"/>
                <w:szCs w:val="24"/>
                <w:lang w:eastAsia="pt-BR"/>
              </w:rPr>
              <w:t xml:space="preserve">  </w:t>
            </w:r>
          </w:p>
          <w:p w:rsidR="00384A26" w:rsidRPr="003A70E2" w:rsidRDefault="00384A26" w:rsidP="00384A26">
            <w:pPr>
              <w:widowControl w:val="0"/>
              <w:spacing w:after="0" w:line="240" w:lineRule="auto"/>
              <w:jc w:val="both"/>
              <w:rPr>
                <w:rFonts w:ascii="Arial" w:eastAsia="Times New Roman" w:hAnsi="Arial" w:cs="Arial"/>
                <w:b/>
                <w:color w:val="000000"/>
                <w:sz w:val="24"/>
                <w:szCs w:val="24"/>
                <w:lang w:eastAsia="pt-BR"/>
              </w:rPr>
            </w:pPr>
            <w:r w:rsidRPr="003A70E2">
              <w:rPr>
                <w:rFonts w:ascii="Arial" w:eastAsia="Times New Roman" w:hAnsi="Arial" w:cs="Arial"/>
                <w:b/>
                <w:color w:val="000000"/>
                <w:sz w:val="24"/>
                <w:szCs w:val="24"/>
                <w:lang w:eastAsia="pt-BR"/>
              </w:rPr>
              <w:t>Prefeito Municipal</w:t>
            </w:r>
          </w:p>
          <w:p w:rsidR="00384A26" w:rsidRPr="003A70E2" w:rsidRDefault="00384A26" w:rsidP="00384A26">
            <w:pPr>
              <w:widowControl w:val="0"/>
              <w:spacing w:after="0" w:line="240" w:lineRule="auto"/>
              <w:jc w:val="both"/>
              <w:rPr>
                <w:rFonts w:ascii="Arial" w:eastAsia="Times New Roman" w:hAnsi="Arial" w:cs="Arial"/>
                <w:color w:val="000000"/>
                <w:sz w:val="24"/>
                <w:szCs w:val="24"/>
                <w:lang w:eastAsia="pt-BR"/>
              </w:rPr>
            </w:pPr>
            <w:r w:rsidRPr="003A70E2">
              <w:rPr>
                <w:rFonts w:ascii="Arial" w:eastAsia="Times New Roman" w:hAnsi="Arial" w:cs="Arial"/>
                <w:b/>
                <w:color w:val="000000"/>
                <w:sz w:val="24"/>
                <w:szCs w:val="24"/>
                <w:lang w:eastAsia="pt-BR"/>
              </w:rPr>
              <w:t>CONTRATANTE</w:t>
            </w:r>
          </w:p>
        </w:tc>
        <w:tc>
          <w:tcPr>
            <w:tcW w:w="4536" w:type="dxa"/>
            <w:hideMark/>
          </w:tcPr>
          <w:p w:rsidR="00453D2E" w:rsidRDefault="00453D2E" w:rsidP="00384A26">
            <w:pPr>
              <w:widowControl w:val="0"/>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CARLINHOS DE MARTINI</w:t>
            </w:r>
          </w:p>
          <w:p w:rsidR="00384A26" w:rsidRPr="003A70E2" w:rsidRDefault="00453D2E" w:rsidP="00384A26">
            <w:pPr>
              <w:widowControl w:val="0"/>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CARLINHOS DE</w:t>
            </w:r>
            <w:r w:rsidR="00593DA0">
              <w:rPr>
                <w:rFonts w:ascii="Arial" w:eastAsia="Times New Roman" w:hAnsi="Arial" w:cs="Arial"/>
                <w:b/>
                <w:bCs/>
                <w:color w:val="000000"/>
                <w:sz w:val="24"/>
                <w:szCs w:val="24"/>
                <w:lang w:eastAsia="pt-BR"/>
              </w:rPr>
              <w:t>MARTINI ME</w:t>
            </w:r>
          </w:p>
          <w:p w:rsidR="00384A26" w:rsidRPr="003A70E2" w:rsidRDefault="00384A26" w:rsidP="00384A26">
            <w:pPr>
              <w:widowControl w:val="0"/>
              <w:spacing w:after="0" w:line="240" w:lineRule="auto"/>
              <w:jc w:val="both"/>
              <w:rPr>
                <w:rFonts w:ascii="Arial" w:eastAsia="Times New Roman" w:hAnsi="Arial" w:cs="Arial"/>
                <w:color w:val="000000"/>
                <w:sz w:val="24"/>
                <w:szCs w:val="24"/>
                <w:lang w:eastAsia="pt-BR"/>
              </w:rPr>
            </w:pPr>
            <w:r w:rsidRPr="003A70E2">
              <w:rPr>
                <w:rFonts w:ascii="Arial" w:eastAsia="Times New Roman" w:hAnsi="Arial" w:cs="Arial"/>
                <w:b/>
                <w:color w:val="000000"/>
                <w:sz w:val="24"/>
                <w:szCs w:val="24"/>
                <w:lang w:eastAsia="pt-BR"/>
              </w:rPr>
              <w:t>CONTRATADA</w:t>
            </w:r>
          </w:p>
        </w:tc>
      </w:tr>
    </w:tbl>
    <w:p w:rsidR="00384A26" w:rsidRPr="003A70E2" w:rsidRDefault="00384A26" w:rsidP="00384A26">
      <w:pPr>
        <w:jc w:val="right"/>
        <w:rPr>
          <w:rFonts w:ascii="Arial" w:eastAsia="Times New Roman" w:hAnsi="Arial" w:cs="Arial"/>
          <w:b/>
          <w:bCs/>
          <w:sz w:val="24"/>
          <w:szCs w:val="24"/>
        </w:rPr>
      </w:pPr>
    </w:p>
    <w:p w:rsidR="00C127F0" w:rsidRPr="003A70E2" w:rsidRDefault="00C127F0" w:rsidP="00C127F0">
      <w:pPr>
        <w:spacing w:after="0"/>
        <w:ind w:left="-624" w:firstLine="624"/>
        <w:jc w:val="both"/>
        <w:rPr>
          <w:rFonts w:ascii="Arial" w:eastAsia="Times New Roman" w:hAnsi="Arial" w:cs="Arial"/>
          <w:sz w:val="24"/>
          <w:szCs w:val="24"/>
        </w:rPr>
      </w:pPr>
    </w:p>
    <w:p w:rsidR="00C127F0" w:rsidRPr="003A70E2" w:rsidRDefault="00C127F0" w:rsidP="00C127F0">
      <w:pPr>
        <w:spacing w:after="0"/>
        <w:ind w:left="-624" w:firstLine="624"/>
        <w:jc w:val="both"/>
        <w:rPr>
          <w:rFonts w:ascii="Arial" w:eastAsia="Times New Roman" w:hAnsi="Arial" w:cs="Arial"/>
          <w:sz w:val="24"/>
          <w:szCs w:val="24"/>
        </w:rPr>
      </w:pPr>
      <w:r w:rsidRPr="003A70E2">
        <w:rPr>
          <w:rFonts w:ascii="Arial" w:eastAsia="Times New Roman" w:hAnsi="Arial" w:cs="Arial"/>
          <w:sz w:val="24"/>
          <w:szCs w:val="24"/>
        </w:rPr>
        <w:t xml:space="preserve">Analisado e Aprovado: </w:t>
      </w:r>
    </w:p>
    <w:p w:rsidR="00C127F0" w:rsidRPr="003A70E2" w:rsidRDefault="00C127F0" w:rsidP="00C127F0">
      <w:pPr>
        <w:spacing w:after="0" w:line="240" w:lineRule="auto"/>
        <w:jc w:val="both"/>
        <w:outlineLvl w:val="3"/>
        <w:rPr>
          <w:rFonts w:ascii="Arial" w:eastAsia="Times New Roman" w:hAnsi="Arial" w:cs="Arial"/>
          <w:sz w:val="24"/>
          <w:szCs w:val="24"/>
          <w:lang w:eastAsia="pt-BR"/>
        </w:rPr>
      </w:pPr>
      <w:r w:rsidRPr="003A70E2">
        <w:rPr>
          <w:rFonts w:ascii="Arial" w:eastAsia="Times New Roman" w:hAnsi="Arial" w:cs="Arial"/>
          <w:b/>
          <w:sz w:val="24"/>
          <w:szCs w:val="24"/>
        </w:rPr>
        <w:t>ANDRÉ LUIZ PANIZZI</w:t>
      </w:r>
      <w:r w:rsidRPr="003A70E2">
        <w:rPr>
          <w:rFonts w:ascii="Arial" w:eastAsia="Times New Roman" w:hAnsi="Arial" w:cs="Arial"/>
          <w:sz w:val="24"/>
          <w:szCs w:val="24"/>
          <w:lang w:eastAsia="pt-BR"/>
        </w:rPr>
        <w:t xml:space="preserve">                                              </w:t>
      </w:r>
    </w:p>
    <w:p w:rsidR="00C127F0" w:rsidRPr="003A70E2" w:rsidRDefault="00C127F0" w:rsidP="00C127F0">
      <w:pPr>
        <w:spacing w:after="0" w:line="240" w:lineRule="auto"/>
        <w:jc w:val="both"/>
        <w:outlineLvl w:val="3"/>
        <w:rPr>
          <w:rFonts w:ascii="Arial" w:hAnsi="Arial" w:cs="Arial"/>
          <w:sz w:val="24"/>
          <w:szCs w:val="24"/>
        </w:rPr>
      </w:pPr>
      <w:r w:rsidRPr="003A70E2">
        <w:rPr>
          <w:rFonts w:ascii="Arial" w:eastAsia="Times New Roman" w:hAnsi="Arial" w:cs="Arial"/>
          <w:sz w:val="24"/>
          <w:szCs w:val="24"/>
          <w:lang w:eastAsia="pt-BR"/>
        </w:rPr>
        <w:t>OAB/SC 23.051</w:t>
      </w:r>
    </w:p>
    <w:sectPr w:rsidR="00C127F0" w:rsidRPr="003A70E2" w:rsidSect="009D29B3">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87" w:rsidRDefault="00C65387" w:rsidP="003D6055">
      <w:pPr>
        <w:spacing w:after="0" w:line="240" w:lineRule="auto"/>
      </w:pPr>
      <w:r>
        <w:separator/>
      </w:r>
    </w:p>
  </w:endnote>
  <w:endnote w:type="continuationSeparator" w:id="0">
    <w:p w:rsidR="00C65387" w:rsidRDefault="00C65387" w:rsidP="003D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87" w:rsidRDefault="00C65387" w:rsidP="003D6055">
      <w:pPr>
        <w:spacing w:after="0" w:line="240" w:lineRule="auto"/>
      </w:pPr>
      <w:r>
        <w:separator/>
      </w:r>
    </w:p>
  </w:footnote>
  <w:footnote w:type="continuationSeparator" w:id="0">
    <w:p w:rsidR="00C65387" w:rsidRDefault="00C65387" w:rsidP="003D6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55" w:rsidRDefault="003D6055" w:rsidP="003D6055">
    <w:pPr>
      <w:spacing w:after="0"/>
      <w:jc w:val="center"/>
      <w:rPr>
        <w:rFonts w:ascii="Arial" w:eastAsia="Times New Roman" w:hAnsi="Arial" w:cs="Arial"/>
        <w:b/>
        <w:noProof/>
        <w:sz w:val="28"/>
        <w:lang w:eastAsia="pt-BR"/>
      </w:rPr>
    </w:pPr>
    <w:r w:rsidRPr="00590859">
      <w:rPr>
        <w:rFonts w:ascii="Arial Black" w:hAnsi="Arial Black" w:cs="Courier New"/>
        <w:b/>
        <w:noProof/>
        <w:sz w:val="24"/>
        <w:szCs w:val="24"/>
        <w:lang w:eastAsia="pt-BR"/>
      </w:rPr>
      <w:drawing>
        <wp:inline distT="0" distB="0" distL="0" distR="0" wp14:anchorId="0A3BC40C" wp14:editId="31DCAD78">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3D6055" w:rsidRPr="00A34CC5" w:rsidRDefault="003D6055" w:rsidP="003D6055">
    <w:pPr>
      <w:spacing w:after="0"/>
      <w:jc w:val="center"/>
      <w:rPr>
        <w:rFonts w:ascii="Arial" w:eastAsia="Times New Roman" w:hAnsi="Arial" w:cs="Arial"/>
        <w:b/>
        <w:noProof/>
        <w:sz w:val="28"/>
        <w:lang w:eastAsia="pt-BR"/>
      </w:rPr>
    </w:pPr>
    <w:r w:rsidRPr="00A34CC5">
      <w:rPr>
        <w:rFonts w:ascii="Arial" w:eastAsia="Times New Roman" w:hAnsi="Arial" w:cs="Arial"/>
        <w:b/>
        <w:noProof/>
        <w:sz w:val="28"/>
        <w:lang w:eastAsia="pt-BR"/>
      </w:rPr>
      <w:t>ESTADO DE SANTA CATARINA</w:t>
    </w:r>
  </w:p>
  <w:p w:rsidR="003D6055" w:rsidRPr="00A34CC5" w:rsidRDefault="003D6055" w:rsidP="003D6055">
    <w:pPr>
      <w:spacing w:after="0"/>
      <w:jc w:val="center"/>
      <w:rPr>
        <w:rFonts w:ascii="Arial" w:eastAsia="Times New Roman" w:hAnsi="Arial" w:cs="Arial"/>
        <w:b/>
        <w:noProof/>
        <w:sz w:val="36"/>
        <w:szCs w:val="40"/>
        <w:lang w:eastAsia="pt-BR"/>
      </w:rPr>
    </w:pPr>
    <w:r w:rsidRPr="00A34CC5">
      <w:rPr>
        <w:rFonts w:ascii="Arial" w:eastAsia="Times New Roman" w:hAnsi="Arial" w:cs="Arial"/>
        <w:b/>
        <w:noProof/>
        <w:sz w:val="36"/>
        <w:szCs w:val="40"/>
        <w:lang w:eastAsia="pt-BR"/>
      </w:rPr>
      <w:t>MUNICÍPIO DE PONTE SERRADA</w:t>
    </w:r>
  </w:p>
  <w:p w:rsidR="003D6055" w:rsidRPr="00A34CC5" w:rsidRDefault="003D6055" w:rsidP="003D6055">
    <w:pPr>
      <w:spacing w:after="0"/>
      <w:jc w:val="center"/>
      <w:rPr>
        <w:rFonts w:ascii="Arial" w:eastAsia="Times New Roman" w:hAnsi="Arial" w:cs="Arial"/>
        <w:noProof/>
        <w:sz w:val="16"/>
        <w:szCs w:val="16"/>
        <w:lang w:eastAsia="pt-BR"/>
      </w:rPr>
    </w:pPr>
    <w:r w:rsidRPr="00A34CC5">
      <w:rPr>
        <w:rFonts w:ascii="Arial" w:eastAsia="Times New Roman" w:hAnsi="Arial" w:cs="Arial"/>
        <w:noProof/>
        <w:sz w:val="16"/>
        <w:szCs w:val="16"/>
        <w:lang w:eastAsia="pt-BR"/>
      </w:rPr>
      <w:t>SECRETARIA MUNICIPAL DE ADMINISTRAÇÃO</w:t>
    </w:r>
  </w:p>
  <w:p w:rsidR="003D6055" w:rsidRDefault="003D60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5C1"/>
    <w:multiLevelType w:val="hybridMultilevel"/>
    <w:tmpl w:val="FCF84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3B00E9"/>
    <w:multiLevelType w:val="hybridMultilevel"/>
    <w:tmpl w:val="3364D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C66105"/>
    <w:multiLevelType w:val="hybridMultilevel"/>
    <w:tmpl w:val="9A343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B596B37"/>
    <w:multiLevelType w:val="hybridMultilevel"/>
    <w:tmpl w:val="BE789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0CD0903"/>
    <w:multiLevelType w:val="hybridMultilevel"/>
    <w:tmpl w:val="FC669C5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65758C4"/>
    <w:multiLevelType w:val="hybridMultilevel"/>
    <w:tmpl w:val="6646F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76E4298"/>
    <w:multiLevelType w:val="hybridMultilevel"/>
    <w:tmpl w:val="10D65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C59643A"/>
    <w:multiLevelType w:val="hybridMultilevel"/>
    <w:tmpl w:val="A0149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D483795"/>
    <w:multiLevelType w:val="hybridMultilevel"/>
    <w:tmpl w:val="2E445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7961972"/>
    <w:multiLevelType w:val="hybridMultilevel"/>
    <w:tmpl w:val="BB3A10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F4959DA"/>
    <w:multiLevelType w:val="hybridMultilevel"/>
    <w:tmpl w:val="EFC03E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F0764C4"/>
    <w:multiLevelType w:val="hybridMultilevel"/>
    <w:tmpl w:val="DCA42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1373AB7"/>
    <w:multiLevelType w:val="hybridMultilevel"/>
    <w:tmpl w:val="897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9635ABE"/>
    <w:multiLevelType w:val="hybridMultilevel"/>
    <w:tmpl w:val="F8EC1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A9E6E72"/>
    <w:multiLevelType w:val="hybridMultilevel"/>
    <w:tmpl w:val="9B382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2"/>
  </w:num>
  <w:num w:numId="5">
    <w:abstractNumId w:val="9"/>
  </w:num>
  <w:num w:numId="6">
    <w:abstractNumId w:val="0"/>
  </w:num>
  <w:num w:numId="7">
    <w:abstractNumId w:val="8"/>
  </w:num>
  <w:num w:numId="8">
    <w:abstractNumId w:val="7"/>
  </w:num>
  <w:num w:numId="9">
    <w:abstractNumId w:val="11"/>
  </w:num>
  <w:num w:numId="10">
    <w:abstractNumId w:val="6"/>
  </w:num>
  <w:num w:numId="11">
    <w:abstractNumId w:val="14"/>
  </w:num>
  <w:num w:numId="12">
    <w:abstractNumId w:val="1"/>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B3"/>
    <w:rsid w:val="00094B03"/>
    <w:rsid w:val="000B1975"/>
    <w:rsid w:val="000E6DC4"/>
    <w:rsid w:val="0010488D"/>
    <w:rsid w:val="001658BE"/>
    <w:rsid w:val="0018603A"/>
    <w:rsid w:val="001F1313"/>
    <w:rsid w:val="002A088E"/>
    <w:rsid w:val="002E2F99"/>
    <w:rsid w:val="003169EC"/>
    <w:rsid w:val="00384A26"/>
    <w:rsid w:val="003949D5"/>
    <w:rsid w:val="003A70E2"/>
    <w:rsid w:val="003C5498"/>
    <w:rsid w:val="003D6055"/>
    <w:rsid w:val="003E6FDA"/>
    <w:rsid w:val="003F5FE8"/>
    <w:rsid w:val="00445466"/>
    <w:rsid w:val="00453D2E"/>
    <w:rsid w:val="004851C5"/>
    <w:rsid w:val="004F16A3"/>
    <w:rsid w:val="005355B7"/>
    <w:rsid w:val="00554736"/>
    <w:rsid w:val="0057619B"/>
    <w:rsid w:val="00593DA0"/>
    <w:rsid w:val="005F28F7"/>
    <w:rsid w:val="006707BD"/>
    <w:rsid w:val="0067144C"/>
    <w:rsid w:val="0067354A"/>
    <w:rsid w:val="006F7F8F"/>
    <w:rsid w:val="00784148"/>
    <w:rsid w:val="007B54B9"/>
    <w:rsid w:val="007F4DDF"/>
    <w:rsid w:val="00851F43"/>
    <w:rsid w:val="009043F2"/>
    <w:rsid w:val="009D29B3"/>
    <w:rsid w:val="00A9176D"/>
    <w:rsid w:val="00B01881"/>
    <w:rsid w:val="00B120AE"/>
    <w:rsid w:val="00B33373"/>
    <w:rsid w:val="00B5314C"/>
    <w:rsid w:val="00C127F0"/>
    <w:rsid w:val="00C348E7"/>
    <w:rsid w:val="00C65387"/>
    <w:rsid w:val="00D05999"/>
    <w:rsid w:val="00DB1AD5"/>
    <w:rsid w:val="00DD58F7"/>
    <w:rsid w:val="00E1736E"/>
    <w:rsid w:val="00E36424"/>
    <w:rsid w:val="00E95236"/>
    <w:rsid w:val="00E9685B"/>
    <w:rsid w:val="00ED7FCA"/>
    <w:rsid w:val="00F943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9F75D-FC0C-4119-950D-996DA254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60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6055"/>
  </w:style>
  <w:style w:type="paragraph" w:styleId="Rodap">
    <w:name w:val="footer"/>
    <w:basedOn w:val="Normal"/>
    <w:link w:val="RodapChar"/>
    <w:uiPriority w:val="99"/>
    <w:unhideWhenUsed/>
    <w:rsid w:val="003D6055"/>
    <w:pPr>
      <w:tabs>
        <w:tab w:val="center" w:pos="4252"/>
        <w:tab w:val="right" w:pos="8504"/>
      </w:tabs>
      <w:spacing w:after="0" w:line="240" w:lineRule="auto"/>
    </w:pPr>
  </w:style>
  <w:style w:type="character" w:customStyle="1" w:styleId="RodapChar">
    <w:name w:val="Rodapé Char"/>
    <w:basedOn w:val="Fontepargpadro"/>
    <w:link w:val="Rodap"/>
    <w:uiPriority w:val="99"/>
    <w:rsid w:val="003D6055"/>
  </w:style>
  <w:style w:type="paragraph" w:styleId="Textodebalo">
    <w:name w:val="Balloon Text"/>
    <w:basedOn w:val="Normal"/>
    <w:link w:val="TextodebaloChar"/>
    <w:uiPriority w:val="99"/>
    <w:semiHidden/>
    <w:unhideWhenUsed/>
    <w:rsid w:val="003D60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6055"/>
    <w:rPr>
      <w:rFonts w:ascii="Tahoma" w:hAnsi="Tahoma" w:cs="Tahoma"/>
      <w:sz w:val="16"/>
      <w:szCs w:val="16"/>
    </w:rPr>
  </w:style>
  <w:style w:type="paragraph" w:styleId="PargrafodaLista">
    <w:name w:val="List Paragraph"/>
    <w:basedOn w:val="Normal"/>
    <w:uiPriority w:val="34"/>
    <w:qFormat/>
    <w:rsid w:val="002A0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34685">
      <w:bodyDiv w:val="1"/>
      <w:marLeft w:val="0"/>
      <w:marRight w:val="0"/>
      <w:marTop w:val="0"/>
      <w:marBottom w:val="0"/>
      <w:divBdr>
        <w:top w:val="none" w:sz="0" w:space="0" w:color="auto"/>
        <w:left w:val="none" w:sz="0" w:space="0" w:color="auto"/>
        <w:bottom w:val="none" w:sz="0" w:space="0" w:color="auto"/>
        <w:right w:val="none" w:sz="0" w:space="0" w:color="auto"/>
      </w:divBdr>
    </w:div>
    <w:div w:id="972491094">
      <w:bodyDiv w:val="1"/>
      <w:marLeft w:val="0"/>
      <w:marRight w:val="0"/>
      <w:marTop w:val="0"/>
      <w:marBottom w:val="0"/>
      <w:divBdr>
        <w:top w:val="none" w:sz="0" w:space="0" w:color="auto"/>
        <w:left w:val="none" w:sz="0" w:space="0" w:color="auto"/>
        <w:bottom w:val="none" w:sz="0" w:space="0" w:color="auto"/>
        <w:right w:val="none" w:sz="0" w:space="0" w:color="auto"/>
      </w:divBdr>
    </w:div>
    <w:div w:id="1153719063">
      <w:bodyDiv w:val="1"/>
      <w:marLeft w:val="0"/>
      <w:marRight w:val="0"/>
      <w:marTop w:val="0"/>
      <w:marBottom w:val="0"/>
      <w:divBdr>
        <w:top w:val="none" w:sz="0" w:space="0" w:color="auto"/>
        <w:left w:val="none" w:sz="0" w:space="0" w:color="auto"/>
        <w:bottom w:val="none" w:sz="0" w:space="0" w:color="auto"/>
        <w:right w:val="none" w:sz="0" w:space="0" w:color="auto"/>
      </w:divBdr>
    </w:div>
    <w:div w:id="13598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User</cp:lastModifiedBy>
  <cp:revision>4</cp:revision>
  <dcterms:created xsi:type="dcterms:W3CDTF">2021-03-30T12:45:00Z</dcterms:created>
  <dcterms:modified xsi:type="dcterms:W3CDTF">2021-03-30T12:52:00Z</dcterms:modified>
</cp:coreProperties>
</file>